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2BE5" w:rsidRPr="00282BE5" w:rsidRDefault="00282BE5" w:rsidP="00282BE5">
      <w:pPr>
        <w:pStyle w:val="Bezodstpw"/>
        <w:jc w:val="center"/>
        <w:rPr>
          <w:b/>
          <w:bCs/>
          <w:sz w:val="24"/>
          <w:szCs w:val="24"/>
          <w:lang w:eastAsia="pl-PL"/>
        </w:rPr>
      </w:pPr>
      <w:r w:rsidRPr="00282BE5">
        <w:rPr>
          <w:b/>
          <w:bCs/>
          <w:sz w:val="24"/>
          <w:szCs w:val="24"/>
          <w:lang w:eastAsia="pl-PL"/>
        </w:rPr>
        <w:t>WSKAZÓWKI METODYCZNE W SPRAWIE PRZEPROWADZANIA BADAŃ PROFILAKTYCZNYCH PRACOWNIKÓW</w:t>
      </w:r>
    </w:p>
    <w:p w:rsidR="00282BE5" w:rsidRPr="00282BE5" w:rsidRDefault="00282BE5" w:rsidP="00282BE5">
      <w:pPr>
        <w:pStyle w:val="Bezodstpw"/>
        <w:rPr>
          <w:lang w:eastAsia="pl-PL"/>
        </w:rPr>
      </w:pPr>
    </w:p>
    <w:tbl>
      <w:tblPr>
        <w:tblW w:w="1703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1"/>
        <w:gridCol w:w="4649"/>
        <w:gridCol w:w="5957"/>
        <w:gridCol w:w="5909"/>
      </w:tblGrid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Czynnik niebezpieczny, szkodliwy lub uciążliwy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Zakres badań profilaktycznych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Częstotliwość badań profilaktycznych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Czynniki fizyczne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Hałas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badanie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otoskopowe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akumetryczne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; audiometria tonalna (badanie przewodnictwa powietrznego dla częstotliwości 0,5-8 kHz) obligatoryjna przy hałasie o poziomie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</w:t>
            </w:r>
            <w:r w:rsidRPr="00282BE5">
              <w:rPr>
                <w:rFonts w:eastAsia="Times New Roman" w:cstheme="minorHAnsi"/>
                <w:kern w:val="0"/>
                <w:sz w:val="14"/>
                <w:szCs w:val="14"/>
                <w:vertAlign w:val="subscript"/>
                <w:lang w:eastAsia="pl-PL"/>
                <w14:ligatures w14:val="none"/>
              </w:rPr>
              <w:t>E</w:t>
            </w: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xsh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≥ 80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dB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1 rok przez pierwsze 3 lata narażenia, następne 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Hałas ultradźwiękowy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badanie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otoskopowe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audiometria tonalna (badanie przewodnictwa powietrznego dla częstotliwości 0,5-8 kHz)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Drgania działające na organizm człowieka przez kończyny górne (drgania miejscowe)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szczególnym uwzględnieniem układów: naczyniowego, nerwowego i kostnego; próba oziębiania z termometrią skórną i próbą uciskową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Pierwsze badanie okresowe po 1 roku, następne 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Drgania o ogólnym działaniu na organizm człowieka (drgania ogólne)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szczególnym zwróceniem uwagi na dolny odcinek kręgosłupa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Promieniowanie jonizujące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morfologia krwi z rozmazem,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retikulocyty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; w badaniu narządu wzroku - ocena ostrości widzenia, ocena zdolności rozpoznawania barw, ocena widzenia przestrzennego, ocena pola widzenia, ocena dna oka, ocena przezierności soczewek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Pracownicy zakwalifikowani do kategorii A - co 1 rok, do kategorii В - 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Pola elektromagnetyczne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Do 45. r.ż. co 4 lata, powyżej 45. r.ż. co 2 lata</w:t>
            </w:r>
          </w:p>
        </w:tc>
      </w:tr>
      <w:tr w:rsidR="00282BE5" w:rsidRPr="00282BE5" w:rsidTr="00282BE5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Sztuczne promieniowanie optyczne (długość fali od 100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nm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do 1 mm):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nadfioletowe (UV)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szczególnym zwróceniem uwagi na skórę; w badaniu narządu wzroku - szczególne zwrócenie uwagi na stan spojówek i rogówek oczu, ostrość widzenia i przezierność soczewek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 lata, u osób powyżej 50. r.ż. narażonych na UV powyżej 10 lat co 2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podczerwone (IR)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szczególnym zwróceniem uwagi na skórę; w badaniu narządu wzroku - szczególne zwrócenie uwagi na stan spojówek, rogówek oczu i dna oka oraz przezierność soczewek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 lata, u osób powyżej 50. r.ż. narażonych na IR powyżej 10 lat co 2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c) laserowe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szczególnym zwróceniem uwagi na skórę; w badaniu narządu wzroku - szczególne zwrócenie uwagi na stan spojówek, rogówek oczu i dna oka, ostrość widzenia, pole widzenia i przezierność soczewek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d) widzialne (światło)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szczególnym zwróceniem uwagi na skórę; w badaniu narządu wzroku - szczególne zwrócenie uwagi na ostrość widzenia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Mikroklimat gorący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EKG, spirometria, oznaczenie stężenia glukozy i kreatyniny we krwi,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Do 45. r.ż. co 3 lata, po 45. r.ż. co 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Mikroklimat zimny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EKG, spirometria, badanie ogólne moczu, oznaczenie stężenia glukozy i kreatyniny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Do 45. r.ż. co 3 lata, po 45. r.ż. co 2 lata;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 przypadku pracy w zakresie temperatur od -25°C do -45°C pierwsze badanie okresowe po 6 miesiącach, następne co 1 rok; w przypadku pracy w temperaturze poniżej -45 °С pierwsze badanie okresowe po 3 miesiącach, kolejne co 6 miesięcy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Zwiększone lub obniżone ciśnienie atmosferyczne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badania lotniczo-lekarskie odbywają się na podstawie przepisów </w:t>
            </w:r>
            <w:hyperlink r:id="rId4" w:anchor="/document/16975592?cm=DOCUMENT" w:history="1">
              <w:r w:rsidRPr="00282BE5">
                <w:rPr>
                  <w:rFonts w:eastAsia="Times New Roman" w:cstheme="minorHAnsi"/>
                  <w:kern w:val="0"/>
                  <w:lang w:eastAsia="pl-PL"/>
                  <w14:ligatures w14:val="none"/>
                </w:rPr>
                <w:t>ustawy</w:t>
              </w:r>
            </w:hyperlink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z dnia 3 lipca 2002 r. - Prawo lotnicze (Dz. U. z 2022 r. poz. 1235, z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późn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. zm.); badania osób wykonujących prace podwodne odbywają się na podstawie przepisów </w:t>
            </w:r>
            <w:hyperlink r:id="rId5" w:anchor="/document/17061992?cm=DOCUMENT" w:history="1">
              <w:r w:rsidRPr="00282BE5">
                <w:rPr>
                  <w:rFonts w:eastAsia="Times New Roman" w:cstheme="minorHAnsi"/>
                  <w:kern w:val="0"/>
                  <w:lang w:eastAsia="pl-PL"/>
                  <w14:ligatures w14:val="none"/>
                </w:rPr>
                <w:t>ustawy</w:t>
              </w:r>
            </w:hyperlink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z dnia 17 października 2003 r. o wykonywaniu prac podwodnych (Dz. U. z 2021 r. poz. 612)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II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Pył przemysłowy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Pyły nieorganiczne zawierające krzemionkę krystaliczną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w badaniu wstępnym, następne po 4 latach narażenia, kolejne co 2-4 lata; przy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stężenich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frakcji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respirabilnej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krzemionki krystalicznej równej lub powyżej wartości NDS - po 2 latach narażenia badania okresowe co 1 rok; u narażonych na ziemię okrzemkową i krzemionkową badania okresowe co 1 rok łącznie z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Pyły węgla (kamiennego, brunatnego)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w badaniu wstępnym, następne po 8 latach narażenia, a kolejne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Pyly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grafitu (naturalnego, syntetycznego)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w badaniu wstępnym, następne po 8 latach narażenia, a kolejne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Pyly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nieorganiczne zawierające włókna azbestu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Pierwsze badanie okresowe po 3 latach narażenia, następne co 2 lata; po 10 latach narażenia co rok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 talku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Pierwsze badanie okresowe po 3 latach narażenia, następne co 2 lata; po 15 latach narażenia co rok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 zawierający metale twarde (np. wolfram, kobalt)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Pierwsze badanie okresowe po roku narażenia, następne 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w badaniu wstępnym, a następne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 zawierający tworzywa sztuczne, w tym sztuczne włókna mineralne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4 lata, po 15 latach narażenia co rok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 organiczny pochodzenia roślinnego lub zwierzęcego, z wyjątkiem pyłów drewna oraz mąki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 przez pierwsze 3 lata narażenia, następne co 3-4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 drewna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spirometria, rynoskopia przednia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 przez pierwsze 3 lata narażenia, następne co 3-4 lata; od 45. r.ż. i po 15 latach narażenia 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Pył mąki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spirometria, ze zwróceniem uwagi na: drogi oddechowe, skórę i spojówki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 przez pierwsze 3 lata, następne 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III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Czynniki chemiczne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Akrylowe związki: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akrylonitryl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akrylany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spirometria, AST, ALT, GGTP, oznaczenie stężenia kreatyniny we krwi,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Aldehydy: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akrylowy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akrylaldehyd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formaldehyd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Amoniak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Arsen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morfologia krwi, AST, ALT, GGTP, oznaczenie stężenia kreatyniny we krwi, badanie ogólne moczu, EKG,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pierwsze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należy wykonać po 10 latach narażenia, a następne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- arsenowodór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arsan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oznaczenie stężenia kreatyniny we krwi, AST, ALT, GGTP, badanie ogólne moczu,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Azotu tlenki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Bar i jego związki: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rozpuszczalne w wodzie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oznaczenie stężenia potasu i wapnia, kinazy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kreatynowej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we krwi, badanie ogólne moczu,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nierozpuszczalne w wodzie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4 lata; pierwsze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po 8 latach narażenia, a następne w zależności od wskazań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Benzen i jego homologi (ksylen, toluen)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 ze szczególnym zwróceniem uwagi na stan i działanie narządu równowagi i badanie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akumetryczne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; morfologia krwi z rozmazem; toluen, ksylen - dodatkowo: ALT, AST,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Benzen: pierwsze badanie okresowe po 6 miesiącach narażenia, następne co rok Toluen, ksylen: 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Benzo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[a]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piren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morfologia krwi, badanie ogólne moczu,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1-2 lata; pierwsze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należy wykonać po 6 latach narażenia, a następne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Brom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Beryl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piersiowej, spirometria, ALT, AST,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3-4 lata; pierwsze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należy wykonać po roku narażenia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Chlor, chlorowodór i tlenki chloru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spirometria, rynoskopia przednia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Chrom i związki chromu (VI)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piersiowej, spirometria, morfologia krwi, CRP, rynoskopia przednia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Pierwsze badanie okresowe po roku narażenia, następne 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po 40. r.ż. lub po 10 latach narażenia co 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Czteroetylek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ołowiu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tetraetylek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ołowiu)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ALT, AST,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Dwumetyloformamid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(N, N-dimetyloformamid)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badanie ogólne moczu, stężenie bilirubiny, kreatyniny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Epichlorohydryna (1 -chloro-2,3 -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epoksypropan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AST, ALT, GGTP, badanie ogólne moczu, stężenie kreatyniny we krwi,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pierwsze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należy wykonać po 6 latach narażenia, a następne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Fenol lub jego homologi (krezol, kreozot) oraz ich chlorowcopochodne lub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nitropochodne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stężenie kreatyniny we krwi,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Fluor i fluorki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 ze szczególnym zwróceniem uwagi na układ ruchu i oddechowy,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kości jednego przedramienia i kości miednicy, po 10 latach narażenia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kręgosłupa lędźwiowego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w badaniach okresowych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kości jednego przedramienia i miednicy należy wykonywać co 6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Fosfor biały, żółty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tertrafosfor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spirometria, AST, ALT, GGTP, badanie ogólne moczu, oznaczanie stężenia wapnia i fosforu we krwi, CRP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Fosforu związki chlorowe (np.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trichlorek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fosforu)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Ftalowy bezwodnik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Pierwsze badanie okresowe po 6 miesiącach narażenia, następne 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tylko przy badaniu wstępnym oraz gdy wywiad lub badanie przedmiotowe wskazują na zmiany w dolnych drogach oddechowych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Furfurol (2-furaldehyd)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Glinu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tlenek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tritlenek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glinu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 ze szczególną oceną układu nerwowego,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Glikole: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a) etylenowy,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dietylenowy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butano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- 1,4-diol, glicerol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oznaczenie stężenia kreatyniny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nitrowe pochodne glikoli lub gliceryny - nitrogliceryna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triazotan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(V) glicerolu), nitroglikol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diazotan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(V) glikolu etylenowego)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EKG, morfologia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Pierwsze badanie okresowe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po 6-12 miesiącach, następne 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Izocyjanianowe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morfologia krwi, CRP,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Pierwsze badanie okresowe po 6-12 miesiącach narażenia, następne co 1-2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tylko przy badaniu wstępnym oraz gdy wywiad lub badanie przedmiotowe wskazują na zmiany w dolnych drogach oddechowych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Kadm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kości miednicy i podudzia, spirometria, morfologia krwi, badanie ogólne moczu, oznaczenie stężenia kreatyniny we krwi, CRP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3-4 lata; pierwsze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po 10 latach narażenia, następne co 3 lata,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kości miednicy i podudzia po 10 latach narażenia, następne co 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Ketony: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aceton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ALT, AST, GGTP,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b)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metyloetyloketon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(butan-2-ol, MEK),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metyloizobutyloketon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(4-metylopentan-2-on, МШЦ)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szczególną oceną obwodowego układu nerwowego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c)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diaceton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tlenek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mezytylu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(4-metylopent-3-en-2-on)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oznaczenie stężenia kreatyniny we krwi,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d) keton butylowo-etylowy (heptan-3-on, EBK)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e) keton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dipropylowy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(heptan-4-on, DPK)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Kobalt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EKG,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Mangan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spirometria, badanie ogólne moczu, morfologia krwi,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Nafta i jej produkty: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benzyna ekstrakcyjna, nafta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 z rozmazem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mieszaniny zawierające wielopierścieniowe węglowodory aromatyczne, np. pak, smoła, asfalty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morfologia krwi z rozmazem; badanie ogólne moczu,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Naftalen і pochodne (naftol, dekalina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(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bicyklo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[4.4.0]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dekan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), tetralina (1,2,3,4-tetrahydronaftalen))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AST, ALT, GGTP, oznaczenie stężenia kreatyniny we krwi,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Nikiel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przy narażeniu wziewnym rynoskopia przednia,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 lata,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w badaniu wstępnym, u osób po 40. r.ż. i w przypadku narażenia powyżej 10 lat co 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Ołów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morfologia krwi, badanie ogólne moczu, oznaczenie stężenia kreatyniny we krwi, ołowiu we krwi oraz co najmniej jednego z następujących metabolitów: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cynkoprotoporfiryny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w erytrocytach lub kwasu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deltaaminolewulinowego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w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U pracowników rozpoczynających pracę w narażeniu na ołów morfologia krwi i oznaczanie stężenia ołowiu we krwi oraz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cynkoprotoporfiryny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w erytrocytach lub kwasu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deltaaminolewulinowego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w moczu co 3 miesiące w pierwszym roku narażenia; następnie u pracowników, u których stężenie ołowiu we krwi utrzymuje się w granicach 300-500 µg/1 (1,45-2,42 µmol/1) u mężczyzn i 200-300 µg/1 (0,97-1,45 µmol/1) u kobiet - co 6 miesięcy; u pracowników, u których stężenie ołowiu we krwi utrzymuje się poniżej 300 µg/1 (1,45 µmol/1) u mężczyzn i poniżej 200 µg/1 (0,97 µmol/1) u kobiet - co 12 miesięcy; pozostałe badania wykonuje się co 12 miesięcy</w:t>
            </w:r>
          </w:p>
        </w:tc>
      </w:tr>
      <w:tr w:rsidR="00282BE5" w:rsidRPr="00282BE5" w:rsidTr="00282BE5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Pestycydy: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1. Hamujące aktywność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cholinesterazy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a) związki fosforoorganiczne, 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paration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malation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mefosfolan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sulfotep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dimetoat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ocena aktywności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cholinesterazy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krwinkowej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karbaminiany,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np.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aldikarb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karbaryl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ocena aktywności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cholinesterazy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krwinkowej; w zależności od wskazań: konsultacja neurologiczna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2. Węglowodory chlorowane: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a) związki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dichlorodifenyloetanu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metoksychlor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metiochlor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b) chlorowane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cyklodieny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np.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aldrin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dieldrin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,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c) związki chlorowane benzenu, np. lindan,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cykloheksanon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GGTP; u narażonych na chlorowane związki benzenu - dodatkowo morfologia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3. Związki kwasu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dichlorofenoksyoctowego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dichlorprop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mekoprop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szczególną oceną układu nerwowego, AST, ALT, oznaczenie stężenia glukozy, kreatyniny we krwi,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4. Pestycydy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ditiokarbaminianowe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maneb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zineb,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etylenotiomocznik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(ETU)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i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propylenotiomocznik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(PTU),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np.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chloroksuron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linuron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EKG, TSH,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rok; w badaniu wstępnym badania czynności tarczycy w zależności od wskazań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5. Związki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dipirydylowe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parakwat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dikwat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6.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Dinitroalkilofenole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dinoseb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dinokap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w badaniu narządu wzroku - ocena ostrości widzenia, ocena zdolności rozpoznawania barw, ocena widzenia przestrzennego; morfologia krwi, oznaczenie stężenia glukozy, kreatyniny we krwi, AST, ALT, GGTP, badanie ogólne moczu, oznaczenie stężenia methemoglobiny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rok; w badaniu wstępnym bez stężenia methemoglobiny we krwi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7.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Pyretroidy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np.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aletryna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cypermetryna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dekametryna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permetryna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Pirydyna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ALT, AST,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Rtęć: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metaliczna i jej związki nieorganiczne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badanie ogólne moczu, oznaczenie stężenia kreatyniny we krwi, ze wskazań stężenie rtęci w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związki organiczne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badanie ogólne moczu, oznaczenie stężenia kreatyniny we krwi, ALT, AST, GGTP; w badaniu narządu wzroku - ocena ostrości widzenia, ocena zdolności rozpoznawania barw, ocena widzenia przestrzennego; ze wskazań oznaczenie rtęci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rok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Siarkowodór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sulfan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Siarki tlenki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w badaniu wstępnym, a następnie w zależności od wskazań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Terpentyna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badanie ogólne moczu, oznaczenie stężenia kreatyniny we krwi,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Wanad i jego związki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spirometria,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po 6 latach pracy, a następnie co 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Węgla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disiarczek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ocena ostrości widzenia, w badaniu narządu wzroku - ocena zdolności rozpoznawania barw i orientacyjna ocena pola widzenia; oznaczenie stężenia glukozy,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lipidogram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AST, ALT, GGTP,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2-3 lata; wskazane pierwsze badanie psychologiczne i psychiatryczne po 5 latach narażenia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Tlenek węgla (II)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Tlenek węgla (IV)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1. Węglowodorów alifatycznych związki aminowe, nitrowe i chlorowcopochodne: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a) związki aminowe (metyloamina, dimetyloamina,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dietylenoamina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) 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diaminowe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(etylenodiamina,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tetrametylenodi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amina)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związki nitrowe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(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nitrometan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nitroetan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nitropropan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c) chlorowcopochodne węglowodorów alifatycznych lub alicyklicznych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2. Chlorek metylu (chlorometan)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szczególną oceną obwodowego i ośrodkowego układu nerwowego,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3. Bromek metylu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bromometan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4. Chlorek metylenu (dichlorometan)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badanie ogólne moczu, oznaczenie stężenia kreatyniny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5. Chloroform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trichlorometan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badanie ogólne moczu, oznaczenie stężenia kreatyniny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6. Dichloroetan,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trichloroetan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7. Czterochlorek węgla (1,1,2,2-tetrachlorometan, TETRA)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oznaczenie stężenia kreatyniny we krwi, AST, ALT, GGTP,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8.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Dibromek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etylenu,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trichloroetylen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(TRI),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tetrachloroetylen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(PER)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oznaczenie stężenia kreatyniny we krwi, morfologia krwi, badanie ogólne moczu,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Węglowodorów aromatycznych związki nitrowe, aminowe i ich chlorowcopochodne: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a) związki nitrowe, np. nitrobenzen,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dinitrobenzen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dinitrotoluen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trinitrotoluén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oznaczenie stężenia kreatyniny we krwi,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6-12 miesięcy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b) związki aminowe, np. anilina, benzydyna,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betanaftyloamina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(2-naftyloamina)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badanie ogólne moczu,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Pierwsze badanie po 3-6 miesiącach narażenia, następne co 6-12 miesięcy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c) chlorowcopochodne: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- pochodne benzenu (chlorobenzen,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dichlorobenzen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heksachlorobenzen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szczególną oceną obwodowego i ośrodkowego układu nerwowego, morfologia krwi,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- pochodne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bifenyli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(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bifenyl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oznaczenie stężenia cholesterolu i trój glicerydów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- pochodne naftalenu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AST, ALT, GGTP, oznaczenie stężenia cholesterolu i trójglicerydów, bilirubiny, kreatyniny we krwi, badanie ogólne moczu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Winylobenzen (styren)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AST, ALT, GGTP,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Winylu chlorek (chloroetan)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AST, ALT, GGTP, fosfataza alkaliczna, morfologia krwi, próba oziębiania rąk, US G wątroby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12-24 miesiące; USG wątroby po 10 latach narażenia, a następnie w zależności od wskazań; w przypadku dodatniej próby oziębiania w badaniu okresowym -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rąk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Żywice epoksydowe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Mieszaniny rozpuszczalników organicznych (jeżeli są zawarte wymienione powyżej rozpuszczalniki, obowiązuje zakres przypisany do danego związku)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AST, ALT, GGTP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Cytostatyki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morfologia krwi, AST, ALT, GGTP, oznaczenie stężenia kreatyniny we krwi, badanie ogólne moczu;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 przypadku narażenia na niżej wymienione leki należy poszerzyć badania okresowe o następujące badania: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a) leki alkilujące - szczególne zwrócenie uwagi na pole widzenia,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b)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winkrystyna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winblastyna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cisplatyna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prokarbazyna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- szczególne zwrócenie uwagi na czucie powierzchniowe i głębokie,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c)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fluorouracyl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- EKG,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d)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bleomycyna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busulfan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chlorambucyl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cyklofosfamid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metotreksat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,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melfalan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-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klatki piersiowej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Co 2-4 lata;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po 6 latach pracy, a następnie 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IV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Czynniki biologiczne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Wirus zapalenia wątroby - typ В (HBV)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 wywiadem ukierunkowanym na szczepienie ochronne, ALT, AST, przeciwciała anty-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HBc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total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po przypadkowej ekspozycji na materiał potencjalnie zakaźny badania serologiczne zależne od aktualnych wytycznych postępowania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poekspozycyjnego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lata, przeciwciała anty-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HBc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total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w badaniu wstępnym, a następnie badania serologiczne w zależności od wskazań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Wirus zapalenia wątroby - typ C (HCV)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ALT, AST, przeciwciała anty-HCV; po przypadkowej ekspozycji na materiał potencjalnie zakaźny badania serologiczne zależne od aktualnych wytycznych postępowania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poekspozycyjnego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lata, przeciwciała anty-HCV w badaniu wstępnym, a następnie w zależności od wskazań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Ludzki wirus niedoboru odporności nabytej (HIV)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przeciwciała anty-HIV;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po przypadkowej ekspozycji na materiał potencjalnie zakaźny badania serologiczne zależne od aktualnych wytycznych postępowania </w:t>
            </w:r>
            <w:proofErr w:type="spellStart"/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poekspozycyjnego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lata, przeciwciała anty-HIV w badaniu wstępnym, a następnie w zależności od wskazań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Pałeczki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Brucella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abortus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bovis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3-5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Promieniowce termofilne, grzyby pleśniowe, w tym o działaniu uczulającym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spirometria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Prątek gruźlicy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w zależności od wskazań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rtg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klatki piersiowej lub testy służące wykryciu zakażenia prątkami gruźlicy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Wirus kleszczowego zapalenia mózgu (wirus KZM)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 wywiadem ukierunkowanym na szczepienie ochronne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Borrelia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burgdorferi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 badaniach okresowych - badania serologiczne w kierunku boreliozy w przypadku informacji o ukąszeniu przez kleszcza bądź w przypadku zgłaszania objawów nasuwających podejrzenie boreliozy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Inne czynniki zaliczone do grupy 2, 3 lub 4 zagrożenia według przepisów wydanych na podstawie </w:t>
            </w:r>
            <w:hyperlink r:id="rId6" w:anchor="/document/16789274?unitId=art(222(1))par(3)&amp;cm=DOCUMENT" w:history="1">
              <w:r w:rsidRPr="00282BE5">
                <w:rPr>
                  <w:rFonts w:eastAsia="Times New Roman" w:cstheme="minorHAnsi"/>
                  <w:kern w:val="0"/>
                  <w:sz w:val="24"/>
                  <w:szCs w:val="24"/>
                  <w:lang w:eastAsia="pl-PL"/>
                  <w14:ligatures w14:val="none"/>
                </w:rPr>
                <w:t>art. 222</w:t>
              </w:r>
              <w:r w:rsidRPr="00282BE5">
                <w:rPr>
                  <w:rFonts w:eastAsia="Times New Roman" w:cstheme="minorHAnsi"/>
                  <w:kern w:val="0"/>
                  <w:vertAlign w:val="superscript"/>
                  <w:lang w:eastAsia="pl-PL"/>
                  <w14:ligatures w14:val="none"/>
                </w:rPr>
                <w:t>1</w:t>
              </w:r>
              <w:r w:rsidRPr="00282BE5">
                <w:rPr>
                  <w:rFonts w:eastAsia="Times New Roman" w:cstheme="minorHAnsi"/>
                  <w:kern w:val="0"/>
                  <w:sz w:val="24"/>
                  <w:szCs w:val="24"/>
                  <w:lang w:eastAsia="pl-PL"/>
                  <w14:ligatures w14:val="none"/>
                </w:rPr>
                <w:t xml:space="preserve"> § 3</w:t>
              </w:r>
            </w:hyperlink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ustawy z dnia 26 czerwca 1974 r. - Kodeks pracy (Dz. U. z 2022 r. poz. 1510, z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późn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. zm.)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w zależności od wskazań i stopnia narażenia: badania laboratoryjne lub serologiczne oraz konsultacje specjalistyczne służące wczesnemu wykryciu zakażenia bądź ocenie zmian w stanie zdrowia spowodowanych zakażeniem;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 przypadku dostępnej szczepionki - w zależności od wskazań badania służące ocenie jej skuteczności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2-4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V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Inne czynniki</w:t>
            </w:r>
          </w:p>
        </w:tc>
      </w:tr>
      <w:tr w:rsidR="00282BE5" w:rsidRPr="00282BE5" w:rsidTr="00282BE5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Niekorzystne czynniki psychospołeczne: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a) zagrożenia wynikające ze stałego dużego dopływu informacji i gotowości do odpowiedzi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lipidogram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2-5 lat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b) zagrożenia wynikające z pracy na stanowiskach decyzyjnych i związanych z odpowiedzialnością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lipidogram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2-5 lat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c) zagrożenia wynikające z narażania życia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lipidogram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2-5 lat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d) zagrożenia wynikające z monotonii pracy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lipidogram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2-5 lat</w:t>
            </w:r>
          </w:p>
        </w:tc>
      </w:tr>
      <w:tr w:rsidR="00282BE5" w:rsidRPr="00282BE5" w:rsidTr="00282BE5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e) zagrożenia wynikające z organizacji pracy (praca pod presją czasu, nierównomierne obciążenie pracą, inne)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lipidogram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2-5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Praca związana z obsługą narzędzi, maszyn, urządzeń i poruszających się poza drogami publicznymi pojazdów mechanicznych (takich jak wózki widłowe,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koparkoładowarki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 itp.)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 ze szczególnym zwróceniem uwagi na badanie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akumetryczne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ocenę narządu równowagi, w badaniu narządu wzroku - ocena ostrości widzenia, ocena zdolności rozpoznawania barw, ocena widzenia przestrzennego, ocena pola widzenia (w zależności od wskazań badanie za pomocą perymetru); w każdym przypadku konieczna ocena funkcji organizmu niezbędnych do bezpiecznego obsługiwania narzędzia, maszyny, urządzenia lub pojazdu mechanicznego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3-4 lata, powyżej 50. r.ż. co 2-3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Obsługa monitorów ekranowych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w badaniu narządu wzroku - ocena ostrości widzenia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Prace wymagające sprawności psychoruchowej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 zależności od wskazań wykonanie właściwych dla stanowiska testów sprawności psychoruchowej;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w każdym przypadku konieczna ocena funkcji organizmu niezbędnych do bezpiecznego wykonywania pracy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1-2 lata, powyżej 50. r.ż. co 1 rok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na wysokości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 ze szczególnym zwróceniem uwagi na stan i działanie narządu równowagi, badanie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akumetryczne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w badaniu narządu wzroku - ocena ostrości widzenia, ocena zdolności rozpoznawania barw, ocena widzenia przestrzennego, ocena pola widzenia (w zależności od wskazań badanie za pomocą perymetru); oznaczenie poziomu glukozy we krwi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Do 25. r.ż. co 3 lata; od 25. do 50. r.ż. co 2-3 lata, powyżej 50. r.ż. 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zmianowa, w tym praca w porze nocnej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3-5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fizyczna z wydatkiem energetycznym na pracę powyżej 1500 kcal (8 godzin lub 3 kcal/min) dla mężczyzn i powyżej 1000 kcal (8 godzin lub ponad 2 kcal/min) dla kobiet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EKG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5 lat; powyżej 50. r.ż. co 3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w wymuszonej pozycji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3-5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wymagająca ruchów monotypowych kończyn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3-5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wymagająca stałego i nadmiernego wysiłku głosowego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lekarskie, ocena wydolności narządu głosu (np. za pomocą wskaźnika niepełnosprawności głosowej) - w przypadku wyniku wskazującego na zmiany patologiczne w narządzie głosu: konsultacja otolaryngologiczna lub foniatryczna z wykonaniem (w zależności od wskazań)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wideolaryngostroboskopii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Pierwsze badanie okresowe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po 12 miesiącach; następne co 3-5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na stanowiskach związanych z kierowaniem pojazdami, szkoleniem i egzaminowaniem kierowców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 xml:space="preserve">Badanie lekarskie ze szczególnym zwróceniem uwagi na stan i działanie narządu równowagi, badanie </w:t>
            </w:r>
            <w:proofErr w:type="spellStart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akumetryczne</w:t>
            </w:r>
            <w:proofErr w:type="spellEnd"/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, w badaniu narządu wzroku - ocena ostrości widzenia, ocena zdolności rozpoznawania barw, ocena widzenia przestrzennego, ocena pola widzenia (w zależności od wskazań badanie za pomocą perymetru), ocena wrażliwości na olśnienie i widzenia zmierzchowego; oznaczenie stężenia glukozy we krwi;</w:t>
            </w:r>
          </w:p>
          <w:p w:rsidR="00282BE5" w:rsidRPr="00282BE5" w:rsidRDefault="00282BE5" w:rsidP="00282BE5">
            <w:pPr>
              <w:spacing w:before="120" w:after="150" w:line="360" w:lineRule="atLea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lang w:eastAsia="pl-PL"/>
                <w14:ligatures w14:val="none"/>
              </w:rPr>
              <w:t>zakres badań dodatkowych i konsultacji specjalistycznych powinien dodatkowo uwzględniać badania i konsultacje wskazane w przepisach dotyczących kierowania pojazdami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30 miesięcy - 5 lat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związana z posługiwaniem się bronią palną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 ze szczególnym zwróceniem uwagi na stan i działanie narządu równowagi, w badaniu narządu wzroku - ocena ostrości widzenia, ocena zdolności rozpoznawania barw, ocena widzenia przestrzennego, ocena pola widzenia (badanie za pomocą perymetru), ocena widzenia zmierzchowego; zakres badań dodatkowych i konsultacji specjalistycznych powinien dodatkowo uwzględniać badania i konsultacje wskazane w przepisach dotyczących posługiwania się bronią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5 lat; po 60. r.ż. co 30 miesięcy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Inne prace związane z narażeniem na czynnik niebezpieczny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lekarskie, w każdym przypadku konieczna ocena funkcji organizmu niezbędnych do bezpiecznego wykonywania pracy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Do 25. r.ż. co 3 lata; od 25. r.ż. do 50. r.ż. co 2-3 lata, powyżej 50. r.ż. co 1-2 lata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Praca w narażeniu na inny czynnik szkodliwy lub uciążliwy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lekarskie; badania dodatkowe i konsultacje specjalistyczne - w każdym przypadku konieczna ocena stanu narządów i układów organizmu niezbędnych do bezpiecznego wykonywania pracy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W zależności od aktualnej wiedzy medycznej dotyczącej wpływu czynnika na zdrowie (nie rzadziej jednak niż co 5 lat)</w:t>
            </w:r>
          </w:p>
        </w:tc>
      </w:tr>
      <w:tr w:rsidR="00282BE5" w:rsidRPr="00282BE5" w:rsidTr="00282BE5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Prace na stanowiskach, na których nie występują czynniki niebezpieczne, szkodliwe lub uciążliwe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Badanie lekarskie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:rsidR="00282BE5" w:rsidRPr="00282BE5" w:rsidRDefault="00282BE5" w:rsidP="00282BE5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82BE5">
              <w:rPr>
                <w:rFonts w:eastAsia="Times New Roman" w:cstheme="minorHAnsi"/>
                <w:kern w:val="0"/>
                <w:sz w:val="24"/>
                <w:szCs w:val="24"/>
                <w:lang w:eastAsia="pl-PL"/>
                <w14:ligatures w14:val="none"/>
              </w:rPr>
              <w:t>Co 5 lat</w:t>
            </w:r>
          </w:p>
        </w:tc>
      </w:tr>
    </w:tbl>
    <w:p w:rsidR="00282BE5" w:rsidRPr="00282BE5" w:rsidRDefault="00282BE5" w:rsidP="00282BE5">
      <w:pPr>
        <w:shd w:val="clear" w:color="auto" w:fill="FFFFFF"/>
        <w:spacing w:after="0" w:line="24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Słownik:</w:t>
      </w:r>
    </w:p>
    <w:p w:rsidR="00282BE5" w:rsidRPr="00282BE5" w:rsidRDefault="00282BE5" w:rsidP="00282BE5">
      <w:pPr>
        <w:shd w:val="clear" w:color="auto" w:fill="FFFFFF"/>
        <w:spacing w:before="120" w:after="150" w:line="360" w:lineRule="atLeast"/>
        <w:ind w:left="72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1) badanie lekarskie - oznacza badanie wykonane przez lekarza uprawnionego do badań, o których mowa w art. 229 ustawy z dnia 26 czerwca 1974 r. - Kodeks pracy;</w:t>
      </w:r>
    </w:p>
    <w:p w:rsidR="00282BE5" w:rsidRPr="00282BE5" w:rsidRDefault="00282BE5" w:rsidP="00282BE5">
      <w:pPr>
        <w:shd w:val="clear" w:color="auto" w:fill="FFFFFF"/>
        <w:spacing w:before="120" w:after="150" w:line="360" w:lineRule="atLeast"/>
        <w:ind w:left="72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2) </w:t>
      </w:r>
      <w:proofErr w:type="spellStart"/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rtg</w:t>
      </w:r>
      <w:proofErr w:type="spellEnd"/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klatki piersiowej - oznacza zdjęcia pełnowymiarowe, przy czym </w:t>
      </w:r>
      <w:proofErr w:type="spellStart"/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rtg</w:t>
      </w:r>
      <w:proofErr w:type="spellEnd"/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klatki piersiowej u narażonych na pyły zwłókniające w przypadku zmian wskazujących na rozwój pylicy ocenia się zgodnie z Międzynarodową Klasyfikacją Radiogramów Pylic Płuc, wprowadzoną przez Międzynarodową Organizację Pracy;</w:t>
      </w:r>
    </w:p>
    <w:p w:rsidR="00282BE5" w:rsidRPr="00282BE5" w:rsidRDefault="00282BE5" w:rsidP="00282BE5">
      <w:pPr>
        <w:shd w:val="clear" w:color="auto" w:fill="FFFFFF"/>
        <w:spacing w:before="120" w:after="150" w:line="360" w:lineRule="atLeast"/>
        <w:ind w:left="72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3) spirometria - badanie obejmujące co najmniej pomiar pojemności życiowej (FVC lub VC), natężonej </w:t>
      </w:r>
      <w:proofErr w:type="spellStart"/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pierwszosekundowej</w:t>
      </w:r>
      <w:proofErr w:type="spellEnd"/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objętości wydechowej (FEV</w:t>
      </w:r>
      <w:r w:rsidRPr="00282BE5">
        <w:rPr>
          <w:rFonts w:eastAsia="Times New Roman" w:cstheme="minorHAnsi"/>
          <w:kern w:val="0"/>
          <w:sz w:val="20"/>
          <w:szCs w:val="20"/>
          <w:vertAlign w:val="subscript"/>
          <w:lang w:eastAsia="pl-PL"/>
          <w14:ligatures w14:val="none"/>
        </w:rPr>
        <w:t>1</w:t>
      </w:r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) i jej wskaźnika odsetkowego (FEV</w:t>
      </w:r>
      <w:r w:rsidRPr="00282BE5">
        <w:rPr>
          <w:rFonts w:eastAsia="Times New Roman" w:cstheme="minorHAnsi"/>
          <w:kern w:val="0"/>
          <w:sz w:val="20"/>
          <w:szCs w:val="20"/>
          <w:vertAlign w:val="subscript"/>
          <w:lang w:eastAsia="pl-PL"/>
          <w14:ligatures w14:val="none"/>
        </w:rPr>
        <w:t>1</w:t>
      </w:r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%VC);</w:t>
      </w:r>
    </w:p>
    <w:p w:rsidR="00654B21" w:rsidRPr="00282BE5" w:rsidRDefault="00282BE5" w:rsidP="00282BE5">
      <w:pPr>
        <w:shd w:val="clear" w:color="auto" w:fill="FFFFFF"/>
        <w:spacing w:before="120" w:after="150" w:line="360" w:lineRule="atLeast"/>
        <w:ind w:left="72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282BE5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4) zakres badania profilaktycznego - oznacza obligatoryjne wykonanie wskazanych badań dodatkowych i konsultacji specjalistycznych po potwierdzeniu istotnego wpływu czynnika szkodliwego lub uciążliwego na zdrowie po dokonanej ocenie zagrożeń dla zdrowia i życia pracownika występujących na stanowisku pracy (m.in. na podstawie oceny ryzyka zawodowego).</w:t>
      </w:r>
    </w:p>
    <w:sectPr w:rsidR="00654B21" w:rsidRPr="00282B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957"/>
    <w:rsid w:val="00282BE5"/>
    <w:rsid w:val="00654B21"/>
    <w:rsid w:val="00855957"/>
    <w:rsid w:val="00A93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B9B89"/>
  <w15:chartTrackingRefBased/>
  <w15:docId w15:val="{BB03B849-9FFD-4F0A-94AE-002AFEE0D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4">
    <w:name w:val="heading 4"/>
    <w:basedOn w:val="Normalny"/>
    <w:link w:val="Nagwek4Znak"/>
    <w:uiPriority w:val="9"/>
    <w:qFormat/>
    <w:rsid w:val="00282BE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282BE5"/>
    <w:rPr>
      <w:rFonts w:ascii="Times New Roman" w:eastAsia="Times New Roman" w:hAnsi="Times New Roman" w:cs="Times New Roman"/>
      <w:b/>
      <w:bCs/>
      <w:kern w:val="0"/>
      <w:sz w:val="24"/>
      <w:szCs w:val="24"/>
      <w:lang w:eastAsia="pl-PL"/>
      <w14:ligatures w14:val="none"/>
    </w:rPr>
  </w:style>
  <w:style w:type="paragraph" w:customStyle="1" w:styleId="msonormal0">
    <w:name w:val="msonormal"/>
    <w:basedOn w:val="Normalny"/>
    <w:rsid w:val="00282B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ormalnyWeb">
    <w:name w:val="Normal (Web)"/>
    <w:basedOn w:val="Normalny"/>
    <w:uiPriority w:val="99"/>
    <w:semiHidden/>
    <w:unhideWhenUsed/>
    <w:rsid w:val="00282B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xt-center">
    <w:name w:val="text-center"/>
    <w:basedOn w:val="Domylnaczcionkaakapitu"/>
    <w:rsid w:val="00282BE5"/>
  </w:style>
  <w:style w:type="character" w:styleId="Hipercze">
    <w:name w:val="Hyperlink"/>
    <w:basedOn w:val="Domylnaczcionkaakapitu"/>
    <w:uiPriority w:val="99"/>
    <w:semiHidden/>
    <w:unhideWhenUsed/>
    <w:rsid w:val="00282BE5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282BE5"/>
    <w:rPr>
      <w:color w:val="800080"/>
      <w:u w:val="single"/>
    </w:rPr>
  </w:style>
  <w:style w:type="character" w:customStyle="1" w:styleId="text-justify">
    <w:name w:val="text-justify"/>
    <w:basedOn w:val="Domylnaczcionkaakapitu"/>
    <w:rsid w:val="00282BE5"/>
  </w:style>
  <w:style w:type="paragraph" w:customStyle="1" w:styleId="text-justify1">
    <w:name w:val="text-justify1"/>
    <w:basedOn w:val="Normalny"/>
    <w:rsid w:val="00282B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sid w:val="00282BE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24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6432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78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45242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82735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4172</Words>
  <Characters>25036</Characters>
  <Application>Microsoft Office Word</Application>
  <DocSecurity>0</DocSecurity>
  <Lines>208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2023-05-22T08:11:00Z</dcterms:created>
  <dcterms:modified xsi:type="dcterms:W3CDTF">2023-05-22T09:04:00Z</dcterms:modified>
</cp:coreProperties>
</file>