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D51DBB" w14:textId="77777777" w:rsidR="00CA4C5E" w:rsidRPr="00D1719C" w:rsidRDefault="00000000">
      <w:pPr>
        <w:spacing w:before="25" w:after="0"/>
        <w:jc w:val="center"/>
        <w:rPr>
          <w:rFonts w:asciiTheme="minorHAnsi" w:hAnsiTheme="minorHAnsi" w:cstheme="minorHAnsi"/>
          <w:szCs w:val="24"/>
        </w:rPr>
      </w:pPr>
      <w:r w:rsidRPr="00D1719C">
        <w:rPr>
          <w:rFonts w:asciiTheme="minorHAnsi" w:hAnsiTheme="minorHAnsi" w:cstheme="minorHAnsi"/>
          <w:b/>
          <w:szCs w:val="24"/>
        </w:rPr>
        <w:t>WYKAZ PRAC WZBRONIONYCH MŁODOCIANYM</w:t>
      </w:r>
    </w:p>
    <w:p w14:paraId="61E25B0F" w14:textId="77777777" w:rsidR="00CA4C5E" w:rsidRPr="00D1719C" w:rsidRDefault="00CA4C5E">
      <w:pPr>
        <w:spacing w:before="80" w:after="0"/>
        <w:rPr>
          <w:rFonts w:asciiTheme="minorHAnsi" w:hAnsiTheme="minorHAnsi" w:cstheme="minorHAnsi"/>
          <w:szCs w:val="24"/>
        </w:rPr>
      </w:pPr>
    </w:p>
    <w:p w14:paraId="43CC3D45" w14:textId="77777777" w:rsidR="00CA4C5E" w:rsidRPr="00D1719C" w:rsidRDefault="00000000">
      <w:pPr>
        <w:spacing w:before="89" w:after="0"/>
        <w:jc w:val="center"/>
        <w:rPr>
          <w:rFonts w:asciiTheme="minorHAnsi" w:hAnsiTheme="minorHAnsi" w:cstheme="minorHAnsi"/>
          <w:szCs w:val="24"/>
        </w:rPr>
      </w:pPr>
      <w:r w:rsidRPr="00D1719C">
        <w:rPr>
          <w:rFonts w:asciiTheme="minorHAnsi" w:hAnsiTheme="minorHAnsi" w:cstheme="minorHAnsi"/>
          <w:b/>
          <w:szCs w:val="24"/>
        </w:rPr>
        <w:t>I. </w:t>
      </w:r>
    </w:p>
    <w:p w14:paraId="0D574C59" w14:textId="77777777" w:rsidR="00CA4C5E" w:rsidRPr="00D1719C" w:rsidRDefault="00000000">
      <w:pPr>
        <w:spacing w:before="25" w:after="0"/>
        <w:jc w:val="center"/>
        <w:rPr>
          <w:rFonts w:asciiTheme="minorHAnsi" w:hAnsiTheme="minorHAnsi" w:cstheme="minorHAnsi"/>
          <w:szCs w:val="24"/>
        </w:rPr>
      </w:pPr>
      <w:r w:rsidRPr="00D1719C">
        <w:rPr>
          <w:rFonts w:asciiTheme="minorHAnsi" w:hAnsiTheme="minorHAnsi" w:cstheme="minorHAnsi"/>
          <w:b/>
          <w:szCs w:val="24"/>
        </w:rPr>
        <w:t>PRACE ZWIĄZANE Z NADMIERNYM WYSIŁKIEM FIZYCZNYM, WYMUSZONĄ POZYCJĄ CIAŁA ORAZ ZAGRAŻAJĄCE PRAWIDŁOWEMU ROZWOJOWI PSYCHICZNEMU</w:t>
      </w:r>
    </w:p>
    <w:p w14:paraId="6918A25C"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 Prace związane z nadmiernym wysiłkiem fizycznym:</w:t>
      </w:r>
    </w:p>
    <w:p w14:paraId="71198DD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 Prace polegające wyłącznie na podnoszeniu, przenoszeniu i przewożeniu ciężarów oraz prace wymagające powtarzania dużej liczby jednorodnych ruchów.</w:t>
      </w:r>
    </w:p>
    <w:p w14:paraId="7C62886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 Prace, przy których najwyższe wartości obciążenia pracą fizyczną, mierzone wydatkiem energetycznym netto na wykonywanie pracy, przekraczają:</w:t>
      </w:r>
    </w:p>
    <w:p w14:paraId="6B18C763"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a) dla młodocianych kobiet - w odniesieniu do 6-godzinnego dobowego czasu pracy - 2300 </w:t>
      </w:r>
      <w:proofErr w:type="spellStart"/>
      <w:r w:rsidRPr="00D1719C">
        <w:rPr>
          <w:rFonts w:asciiTheme="minorHAnsi" w:hAnsiTheme="minorHAnsi" w:cstheme="minorHAnsi"/>
          <w:szCs w:val="24"/>
        </w:rPr>
        <w:t>kJ</w:t>
      </w:r>
      <w:proofErr w:type="spellEnd"/>
      <w:r w:rsidRPr="00D1719C">
        <w:rPr>
          <w:rFonts w:asciiTheme="minorHAnsi" w:hAnsiTheme="minorHAnsi" w:cstheme="minorHAnsi"/>
          <w:szCs w:val="24"/>
        </w:rPr>
        <w:t xml:space="preserve">, a w odniesieniu do wysiłków krótkotrwałych 10,5 </w:t>
      </w:r>
      <w:proofErr w:type="spellStart"/>
      <w:r w:rsidRPr="00D1719C">
        <w:rPr>
          <w:rFonts w:asciiTheme="minorHAnsi" w:hAnsiTheme="minorHAnsi" w:cstheme="minorHAnsi"/>
          <w:szCs w:val="24"/>
        </w:rPr>
        <w:t>kJ</w:t>
      </w:r>
      <w:proofErr w:type="spellEnd"/>
      <w:r w:rsidRPr="00D1719C">
        <w:rPr>
          <w:rFonts w:asciiTheme="minorHAnsi" w:hAnsiTheme="minorHAnsi" w:cstheme="minorHAnsi"/>
          <w:szCs w:val="24"/>
        </w:rPr>
        <w:t xml:space="preserve"> na minutę,</w:t>
      </w:r>
    </w:p>
    <w:p w14:paraId="30A622AB"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b) dla młodocianych mężczyzn - w odniesieniu do 6-godzinnego dobowego czasu pracy - 3030 </w:t>
      </w:r>
      <w:proofErr w:type="spellStart"/>
      <w:r w:rsidRPr="00D1719C">
        <w:rPr>
          <w:rFonts w:asciiTheme="minorHAnsi" w:hAnsiTheme="minorHAnsi" w:cstheme="minorHAnsi"/>
          <w:szCs w:val="24"/>
        </w:rPr>
        <w:t>kJ</w:t>
      </w:r>
      <w:proofErr w:type="spellEnd"/>
      <w:r w:rsidRPr="00D1719C">
        <w:rPr>
          <w:rFonts w:asciiTheme="minorHAnsi" w:hAnsiTheme="minorHAnsi" w:cstheme="minorHAnsi"/>
          <w:szCs w:val="24"/>
        </w:rPr>
        <w:t xml:space="preserve">, a w odniesieniu do wysiłków krótkotrwałych 12,6 </w:t>
      </w:r>
      <w:proofErr w:type="spellStart"/>
      <w:r w:rsidRPr="00D1719C">
        <w:rPr>
          <w:rFonts w:asciiTheme="minorHAnsi" w:hAnsiTheme="minorHAnsi" w:cstheme="minorHAnsi"/>
          <w:szCs w:val="24"/>
        </w:rPr>
        <w:t>kJ</w:t>
      </w:r>
      <w:proofErr w:type="spellEnd"/>
      <w:r w:rsidRPr="00D1719C">
        <w:rPr>
          <w:rFonts w:asciiTheme="minorHAnsi" w:hAnsiTheme="minorHAnsi" w:cstheme="minorHAnsi"/>
          <w:szCs w:val="24"/>
        </w:rPr>
        <w:t xml:space="preserve"> na minutę.</w:t>
      </w:r>
    </w:p>
    <w:p w14:paraId="708CBDC7"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 Prace załadunkowe i wyładunkowe, przy przewożeniu ciężarów środkami transportu, przy przetaczaniu beczek, bali, kloców itp.</w:t>
      </w:r>
    </w:p>
    <w:p w14:paraId="62597C5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4) Pozostałe prace ujęte w przepisach dotyczących ręcznych prac transportowych, wydanych na podstawie art. 237</w:t>
      </w:r>
      <w:r w:rsidRPr="00D1719C">
        <w:rPr>
          <w:rFonts w:asciiTheme="minorHAnsi" w:hAnsiTheme="minorHAnsi" w:cstheme="minorHAnsi"/>
          <w:szCs w:val="24"/>
          <w:vertAlign w:val="superscript"/>
        </w:rPr>
        <w:t xml:space="preserve">15 </w:t>
      </w:r>
      <w:r w:rsidRPr="00D1719C">
        <w:rPr>
          <w:rFonts w:asciiTheme="minorHAnsi" w:hAnsiTheme="minorHAnsi" w:cstheme="minorHAnsi"/>
          <w:szCs w:val="24"/>
        </w:rPr>
        <w:t>§ 1 Kodeksu pracy, przekraczające wartość obciążenia młodocianych:</w:t>
      </w:r>
    </w:p>
    <w:p w14:paraId="1E03278A"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dla młodocianych kobiet 60% dopuszczalnej wartości obciążenia dla kobiet,</w:t>
      </w:r>
    </w:p>
    <w:p w14:paraId="7A10932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dla młodocianych mężczyzn 40% dopuszczalnej wartości obciążenia dla mężczyzn</w:t>
      </w:r>
    </w:p>
    <w:p w14:paraId="68E92317"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z wyłączeniem wartości określonych w pkt 2.</w:t>
      </w:r>
    </w:p>
    <w:p w14:paraId="52F41BEC"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 Prace wymagające stale wymuszonej i niewygodnej pozycji ciała:</w:t>
      </w:r>
    </w:p>
    <w:p w14:paraId="79DFFC2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 Prace wykonywane w pozycji pochylonej lub w przysiadzie.</w:t>
      </w:r>
    </w:p>
    <w:p w14:paraId="20D9790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 Prace wykonywane w pozycji leżącej, na boku lub na wznak, w tym w szczególności przy naprawach pojazdów mechanicznych.</w:t>
      </w:r>
    </w:p>
    <w:p w14:paraId="5205BE9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 Prace wykonywane na kolanach, w tym w szczególności przy ręcznym cyklinowaniu podłóg, przy pracach brukarskich i posadzkarskich.</w:t>
      </w:r>
    </w:p>
    <w:p w14:paraId="416C882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 Prace zagrażające prawidłowemu rozwojowi psychicznemu:</w:t>
      </w:r>
    </w:p>
    <w:p w14:paraId="7BB04B4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 Prace, przy których mógłby być zagrożony prawidłowy rozwój psychiczny młodocianych, w szczególności:</w:t>
      </w:r>
    </w:p>
    <w:p w14:paraId="3545FB4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prace związane z produkcją, sprzedażą i konsumpcją napojów alkoholowych, w tym obsługa konsumentów w zakładach gastronomicznych,</w:t>
      </w:r>
    </w:p>
    <w:p w14:paraId="58C69E8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prace związane z produkcją, sprzedażą, promocją i użytkowaniem wyrobów nikotynowych,</w:t>
      </w:r>
    </w:p>
    <w:p w14:paraId="56BB730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c) prace związane z produkcją, sprzedażą i reklamą treści pornograficznych,</w:t>
      </w:r>
    </w:p>
    <w:p w14:paraId="7039E92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d) prace związane z ubojem i obróbką poubojową zwierząt,</w:t>
      </w:r>
    </w:p>
    <w:p w14:paraId="78B1794B"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e) obsługa zakładów kąpielowych i łaźni,</w:t>
      </w:r>
    </w:p>
    <w:p w14:paraId="4B871813"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f) prace, przy których występuje prawdopodobieństwo stosowania siły wobec zwierząt, np. praca rakarzy, praca z dzikimi lub jadowitymi zwierzętami,</w:t>
      </w:r>
    </w:p>
    <w:p w14:paraId="18B3650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g) prace przy inseminacji zwierząt,</w:t>
      </w:r>
    </w:p>
    <w:p w14:paraId="3538568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h) prace w hospicjach oraz w szpitalach (oddziałach) psychiatrycznych,</w:t>
      </w:r>
    </w:p>
    <w:p w14:paraId="4D5C325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i) prace w zakładach pogrzebowych.</w:t>
      </w:r>
    </w:p>
    <w:p w14:paraId="6504F1E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 Prace w warunkach mogących stanowić nadmierne obciążenie psychiczne, w szczególności:</w:t>
      </w:r>
    </w:p>
    <w:p w14:paraId="09C0F5C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wymagające odbioru i przetwarzania dużej ilości lub szybko po sobie następujących informacji i podejmowania decyzji mogących spowodować groźne następstwa, szczególnie w sytuacjach przymusu czasowego, w tym związane z obsługą elementów sterowniczych,</w:t>
      </w:r>
    </w:p>
    <w:p w14:paraId="4AA17203"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wymuszone przez rytm pracy maszyn lub wynagradzane w zależności od osiąganych rezultatów.</w:t>
      </w:r>
    </w:p>
    <w:p w14:paraId="2E9FC91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 Prace pokojowych w domach wczasowych i turystycznych, pensjonatach i hotelach, w tym hotelach robotniczych.</w:t>
      </w:r>
    </w:p>
    <w:p w14:paraId="42F13AD6" w14:textId="77777777" w:rsidR="00CA4C5E" w:rsidRPr="00D1719C" w:rsidRDefault="00CA4C5E">
      <w:pPr>
        <w:spacing w:before="80" w:after="0"/>
        <w:rPr>
          <w:rFonts w:asciiTheme="minorHAnsi" w:hAnsiTheme="minorHAnsi" w:cstheme="minorHAnsi"/>
          <w:szCs w:val="24"/>
        </w:rPr>
      </w:pPr>
    </w:p>
    <w:p w14:paraId="3B6AFD48" w14:textId="77777777" w:rsidR="00CA4C5E" w:rsidRPr="00D1719C" w:rsidRDefault="00000000">
      <w:pPr>
        <w:spacing w:before="89" w:after="0"/>
        <w:jc w:val="center"/>
        <w:rPr>
          <w:rFonts w:asciiTheme="minorHAnsi" w:hAnsiTheme="minorHAnsi" w:cstheme="minorHAnsi"/>
          <w:szCs w:val="24"/>
        </w:rPr>
      </w:pPr>
      <w:r w:rsidRPr="00D1719C">
        <w:rPr>
          <w:rFonts w:asciiTheme="minorHAnsi" w:hAnsiTheme="minorHAnsi" w:cstheme="minorHAnsi"/>
          <w:b/>
          <w:szCs w:val="24"/>
        </w:rPr>
        <w:t>II. </w:t>
      </w:r>
    </w:p>
    <w:p w14:paraId="12838F52" w14:textId="77777777" w:rsidR="00CA4C5E" w:rsidRPr="00D1719C" w:rsidRDefault="00000000">
      <w:pPr>
        <w:spacing w:before="25" w:after="0"/>
        <w:jc w:val="center"/>
        <w:rPr>
          <w:rFonts w:asciiTheme="minorHAnsi" w:hAnsiTheme="minorHAnsi" w:cstheme="minorHAnsi"/>
          <w:szCs w:val="24"/>
        </w:rPr>
      </w:pPr>
      <w:r w:rsidRPr="00D1719C">
        <w:rPr>
          <w:rFonts w:asciiTheme="minorHAnsi" w:hAnsiTheme="minorHAnsi" w:cstheme="minorHAnsi"/>
          <w:b/>
          <w:szCs w:val="24"/>
        </w:rPr>
        <w:t>PRACE W NARAŻENIU NA SZKODLIWE DZIAŁANIE CZYNNIKÓW CHEMICZNYCH, PYŁOWYCH, FIZYCZNYCH I BIOLOGICZNYCH</w:t>
      </w:r>
    </w:p>
    <w:p w14:paraId="5C1E004C"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 Prace w narażeniu na szkodliwe działanie czynników chemicznych i pyłowych:</w:t>
      </w:r>
    </w:p>
    <w:p w14:paraId="05FE56B4"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1) Prace w narażeniu na działanie substancji lub mieszanin spełniających kryteria klasyfikacji określone w załączniku nr 1 do rozporządzenia Parlamentu Europejskiego i Rady (WE) nr 1272/2008 z dnia 16 grudnia 2008 r. w sprawie klasyfikacji, oznakowania i pakowania substancji i mieszanin, zmieniającego i uchylającego dyrektywy 67/548/EWG i 1999/45/WE oraz zmieniającego rozporządzenie (WE) nr 1907/2006 (Dz. Urz. UE L 353 z 31.12.2008, str. 1, z </w:t>
      </w:r>
      <w:proofErr w:type="spellStart"/>
      <w:r w:rsidRPr="00D1719C">
        <w:rPr>
          <w:rFonts w:asciiTheme="minorHAnsi" w:hAnsiTheme="minorHAnsi" w:cstheme="minorHAnsi"/>
          <w:szCs w:val="24"/>
        </w:rPr>
        <w:t>późn</w:t>
      </w:r>
      <w:proofErr w:type="spellEnd"/>
      <w:r w:rsidRPr="00D1719C">
        <w:rPr>
          <w:rFonts w:asciiTheme="minorHAnsi" w:hAnsiTheme="minorHAnsi" w:cstheme="minorHAnsi"/>
          <w:szCs w:val="24"/>
        </w:rPr>
        <w:t>. zm.) w jednej lub kilku z następujących klas lub kategorii zagrożenia wraz z jednym lub kilkoma następującymi zwrotami wskazującymi rodzaj zagrożenia:</w:t>
      </w:r>
    </w:p>
    <w:p w14:paraId="0950EAD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toksyczność ostra, kategoria 1, 2 lub 3 (H300, H310, H330, H301, H311, H331),</w:t>
      </w:r>
    </w:p>
    <w:p w14:paraId="004F1853"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działanie żrące na skórę, kategoria 1A, 1B lub 1C (H314),</w:t>
      </w:r>
    </w:p>
    <w:p w14:paraId="7564DB2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c) gaz łatwopalny, kategoria 1 lub 2 (H220, H221),</w:t>
      </w:r>
    </w:p>
    <w:p w14:paraId="393941F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d) łatwopalne aerozole, kategoria 1 (H222),</w:t>
      </w:r>
    </w:p>
    <w:p w14:paraId="64A36E53"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e) ciecz łatwopalna, kategoria 1 lub 2 (H224, H225),</w:t>
      </w:r>
    </w:p>
    <w:p w14:paraId="6CCC53B2"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f) materiały wybuchowe, kategorie "niestabilny materiał wybuchowy" lub materiały wybuchowe podklasy 1.1, 1.2, 1.3, 1.4, 1.5 (H200, H201, H202, H203, H204, H205),</w:t>
      </w:r>
    </w:p>
    <w:p w14:paraId="75B3C2E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g) substancje i mieszaniny </w:t>
      </w:r>
      <w:proofErr w:type="spellStart"/>
      <w:r w:rsidRPr="00D1719C">
        <w:rPr>
          <w:rFonts w:asciiTheme="minorHAnsi" w:hAnsiTheme="minorHAnsi" w:cstheme="minorHAnsi"/>
          <w:szCs w:val="24"/>
        </w:rPr>
        <w:t>samoreaktywne</w:t>
      </w:r>
      <w:proofErr w:type="spellEnd"/>
      <w:r w:rsidRPr="00D1719C">
        <w:rPr>
          <w:rFonts w:asciiTheme="minorHAnsi" w:hAnsiTheme="minorHAnsi" w:cstheme="minorHAnsi"/>
          <w:szCs w:val="24"/>
        </w:rPr>
        <w:t xml:space="preserve"> typów A, B, C lub D (H240, H241, H242),</w:t>
      </w:r>
    </w:p>
    <w:p w14:paraId="0C4A1AA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h) nadtlenki organiczne typu A lub B (H240, H241),</w:t>
      </w:r>
    </w:p>
    <w:p w14:paraId="11EC30D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i) działanie toksyczne na narządy docelowe po narażeniu jednorazowym, kategoria 1 lub 2 (H370, H371),</w:t>
      </w:r>
    </w:p>
    <w:p w14:paraId="2D1A4AE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j) działanie toksyczne na narządy docelowe po narażeniu powtarzanym, kategoria 1 lub 2 (H372, H373),</w:t>
      </w:r>
    </w:p>
    <w:p w14:paraId="64B731A3"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k) działanie uczulające na drogi oddechowe, kategoria 1, podkategoria 1A lub 1B (H334),</w:t>
      </w:r>
    </w:p>
    <w:p w14:paraId="62F8383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l) działanie uczulające na skórę, kategoria 1, podkategoria 1A lub 1B (H317),</w:t>
      </w:r>
    </w:p>
    <w:p w14:paraId="6792904B"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m) rakotwórczość, kategoria 1A, 1B lub 2 (H350, H350i, H351),</w:t>
      </w:r>
    </w:p>
    <w:p w14:paraId="7CB66B0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n) działanie mutagenne na komórki rozrodcze, kategoria 1A, 1B lub 2 (H340, H341),</w:t>
      </w:r>
    </w:p>
    <w:p w14:paraId="7D35E1C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o) działanie szkodliwe na rozrodczość, kategoria 1A lub 1B (H360, H360F, H360FD, H360Fd, H360D, H360Df).</w:t>
      </w:r>
    </w:p>
    <w:p w14:paraId="1724A76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 Prace z substancjami, ich mieszaninami lub pyłami o działaniu rakotwórczym lub mutagennym uwalniającymi się w procesach technologicznych, określonych w przepisach wydanych na podstawie art. 222 § 3 Kodeksu pracy.</w:t>
      </w:r>
    </w:p>
    <w:p w14:paraId="7437E9B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 Prace z substancjami psychoaktywnymi i ich mieszaninami.</w:t>
      </w:r>
    </w:p>
    <w:p w14:paraId="200E31FB"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4) Prace w narażeniu na ołów i jego związki.</w:t>
      </w:r>
    </w:p>
    <w:p w14:paraId="5BA020A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5) Prace w narażeniu na azbest.</w:t>
      </w:r>
    </w:p>
    <w:p w14:paraId="2911A8E5"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 Prace w narażeniu na szkodliwe działanie czynników fizycznych:</w:t>
      </w:r>
    </w:p>
    <w:p w14:paraId="25892732"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 Prace w przestrzeni pola elektromagnetycznego stref ochronnych, wyznaczonej zgodnie z przepisami wydanymi na podstawie art. 228 § 3 Kodeksu pracy, dotyczącymi najwyższych dopuszczalnych stężeń i natężeń czynników szkodliwych dla zdrowia w środowisku pracy.</w:t>
      </w:r>
    </w:p>
    <w:p w14:paraId="19B16004"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 Prace w warunkach narażenia na promieniowanie jonizujące na poziomie przekraczającym dopuszczalne wartości dawek granicznych określone w przepisach prawa atomowego.</w:t>
      </w:r>
    </w:p>
    <w:p w14:paraId="44BD2B6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 Prace w warunkach narażenia na odbite/rozproszone promieniowanie laserów klasy 3b lub 4 według Polskiej Normy PN-EN 608225-1.</w:t>
      </w:r>
    </w:p>
    <w:p w14:paraId="2837FAB9"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4) Prace w warunkach narażenia na promieniowanie nadfioletowe, zwłaszcza emitowane przez technologiczne urządzenia przemysłowe, w tym w szczególności przy elektrycznym spawaniu, cięciu i napawaniu metali.</w:t>
      </w:r>
    </w:p>
    <w:p w14:paraId="069A43E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5) Prace w warunkach narażenia na promieniowanie podczerwone, w tym w szczególności przy piecach hutniczych i grzewczych oraz spiekaniu i odlewaniu.</w:t>
      </w:r>
    </w:p>
    <w:p w14:paraId="672CC83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6) Prace w warunkach narażenia na hałas, którego:</w:t>
      </w:r>
    </w:p>
    <w:p w14:paraId="3C08EBA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a) poziom ekspozycji odniesiony do 8-godzinnego dobowego lub do przeciętnego tygodniowego, określonego w Kodeksie pracy, wymiaru czasu pracy przekracza wartość 80 </w:t>
      </w:r>
      <w:proofErr w:type="spellStart"/>
      <w:r w:rsidRPr="00D1719C">
        <w:rPr>
          <w:rFonts w:asciiTheme="minorHAnsi" w:hAnsiTheme="minorHAnsi" w:cstheme="minorHAnsi"/>
          <w:szCs w:val="24"/>
        </w:rPr>
        <w:t>dB</w:t>
      </w:r>
      <w:proofErr w:type="spellEnd"/>
      <w:r w:rsidRPr="00D1719C">
        <w:rPr>
          <w:rFonts w:asciiTheme="minorHAnsi" w:hAnsiTheme="minorHAnsi" w:cstheme="minorHAnsi"/>
          <w:szCs w:val="24"/>
        </w:rPr>
        <w:t xml:space="preserve"> lub</w:t>
      </w:r>
    </w:p>
    <w:p w14:paraId="3D441B3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b) szczytowy poziom dźwięku C przekracza wartość 130 </w:t>
      </w:r>
      <w:proofErr w:type="spellStart"/>
      <w:r w:rsidRPr="00D1719C">
        <w:rPr>
          <w:rFonts w:asciiTheme="minorHAnsi" w:hAnsiTheme="minorHAnsi" w:cstheme="minorHAnsi"/>
          <w:szCs w:val="24"/>
        </w:rPr>
        <w:t>dB</w:t>
      </w:r>
      <w:proofErr w:type="spellEnd"/>
      <w:r w:rsidRPr="00D1719C">
        <w:rPr>
          <w:rFonts w:asciiTheme="minorHAnsi" w:hAnsiTheme="minorHAnsi" w:cstheme="minorHAnsi"/>
          <w:szCs w:val="24"/>
        </w:rPr>
        <w:t>, lub</w:t>
      </w:r>
    </w:p>
    <w:p w14:paraId="78D4C865"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c) maksymalny poziom dźwięku A przekracza wartość 110 </w:t>
      </w:r>
      <w:proofErr w:type="spellStart"/>
      <w:r w:rsidRPr="00D1719C">
        <w:rPr>
          <w:rFonts w:asciiTheme="minorHAnsi" w:hAnsiTheme="minorHAnsi" w:cstheme="minorHAnsi"/>
          <w:szCs w:val="24"/>
        </w:rPr>
        <w:t>dB</w:t>
      </w:r>
      <w:proofErr w:type="spellEnd"/>
      <w:r w:rsidRPr="00D1719C">
        <w:rPr>
          <w:rFonts w:asciiTheme="minorHAnsi" w:hAnsiTheme="minorHAnsi" w:cstheme="minorHAnsi"/>
          <w:szCs w:val="24"/>
        </w:rPr>
        <w:t>.</w:t>
      </w:r>
    </w:p>
    <w:p w14:paraId="1618CC7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7) Prace w warunkach narażenia na hałas ultradźwiękowy, którego:</w:t>
      </w:r>
    </w:p>
    <w:p w14:paraId="5068E22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równoważne poziomy ciśnienia akustycznego w pasmach tercjowych o częstotliwościach środkowych od 10 kHz do 40 kHz odniesione do 8-godzinnego dobowego lub do przeciętnego tygodniowego, określonego w Kodeksie pracy, wymiaru czasu pracy lub</w:t>
      </w:r>
    </w:p>
    <w:p w14:paraId="62B89B6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maksymalne poziomy ciśnienia akustycznego w pasmach tercjowych o częstotliwościach środkowych od 10 kHz do 40 kHz przekraczają wartości podane w tabeli:</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942"/>
        <w:gridCol w:w="3016"/>
        <w:gridCol w:w="2934"/>
      </w:tblGrid>
      <w:tr w:rsidR="00D1719C" w:rsidRPr="00D1719C" w14:paraId="76C5ABED" w14:textId="77777777">
        <w:trPr>
          <w:trHeight w:val="45"/>
          <w:tblCellSpacing w:w="0" w:type="auto"/>
        </w:trPr>
        <w:tc>
          <w:tcPr>
            <w:tcW w:w="5277" w:type="dxa"/>
            <w:tcBorders>
              <w:bottom w:val="single" w:sz="8" w:space="0" w:color="000000"/>
              <w:right w:val="single" w:sz="8" w:space="0" w:color="000000"/>
            </w:tcBorders>
            <w:tcMar>
              <w:top w:w="15" w:type="dxa"/>
              <w:left w:w="15" w:type="dxa"/>
              <w:bottom w:w="15" w:type="dxa"/>
              <w:right w:w="15" w:type="dxa"/>
            </w:tcMar>
            <w:vAlign w:val="center"/>
          </w:tcPr>
          <w:p w14:paraId="5F2DAE54"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Częstotliwość środkowa pasma tercjowego (kHz)</w:t>
            </w:r>
          </w:p>
        </w:tc>
        <w:tc>
          <w:tcPr>
            <w:tcW w:w="5277" w:type="dxa"/>
            <w:tcBorders>
              <w:bottom w:val="single" w:sz="8" w:space="0" w:color="000000"/>
              <w:right w:val="single" w:sz="8" w:space="0" w:color="000000"/>
            </w:tcBorders>
            <w:tcMar>
              <w:top w:w="15" w:type="dxa"/>
              <w:left w:w="15" w:type="dxa"/>
              <w:bottom w:w="15" w:type="dxa"/>
              <w:right w:w="15" w:type="dxa"/>
            </w:tcMar>
            <w:vAlign w:val="center"/>
          </w:tcPr>
          <w:p w14:paraId="7685C167"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Równoważny poziom ciśnienia akustycznego odniesiony do 8-godzinnego dobowego lub przeciętnego tygodniowego, określonego w Kodeksie pracy, wymiaru czasu pracy (</w:t>
            </w:r>
            <w:proofErr w:type="spellStart"/>
            <w:r w:rsidRPr="00D1719C">
              <w:rPr>
                <w:rFonts w:asciiTheme="minorHAnsi" w:hAnsiTheme="minorHAnsi" w:cstheme="minorHAnsi"/>
                <w:szCs w:val="24"/>
              </w:rPr>
              <w:t>dB</w:t>
            </w:r>
            <w:proofErr w:type="spellEnd"/>
            <w:r w:rsidRPr="00D1719C">
              <w:rPr>
                <w:rFonts w:asciiTheme="minorHAnsi" w:hAnsiTheme="minorHAnsi" w:cstheme="minorHAnsi"/>
                <w:szCs w:val="24"/>
              </w:rPr>
              <w:t>)</w:t>
            </w:r>
          </w:p>
        </w:tc>
        <w:tc>
          <w:tcPr>
            <w:tcW w:w="5278" w:type="dxa"/>
            <w:tcBorders>
              <w:bottom w:val="single" w:sz="8" w:space="0" w:color="000000"/>
              <w:right w:val="single" w:sz="8" w:space="0" w:color="000000"/>
            </w:tcBorders>
            <w:tcMar>
              <w:top w:w="15" w:type="dxa"/>
              <w:left w:w="15" w:type="dxa"/>
              <w:bottom w:w="15" w:type="dxa"/>
              <w:right w:w="15" w:type="dxa"/>
            </w:tcMar>
            <w:vAlign w:val="center"/>
          </w:tcPr>
          <w:p w14:paraId="0459740C"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Maksymalny poziom ciśnienia akustycznego (</w:t>
            </w:r>
            <w:proofErr w:type="spellStart"/>
            <w:r w:rsidRPr="00D1719C">
              <w:rPr>
                <w:rFonts w:asciiTheme="minorHAnsi" w:hAnsiTheme="minorHAnsi" w:cstheme="minorHAnsi"/>
                <w:szCs w:val="24"/>
              </w:rPr>
              <w:t>dB</w:t>
            </w:r>
            <w:proofErr w:type="spellEnd"/>
            <w:r w:rsidRPr="00D1719C">
              <w:rPr>
                <w:rFonts w:asciiTheme="minorHAnsi" w:hAnsiTheme="minorHAnsi" w:cstheme="minorHAnsi"/>
                <w:szCs w:val="24"/>
              </w:rPr>
              <w:t>)</w:t>
            </w:r>
          </w:p>
        </w:tc>
      </w:tr>
      <w:tr w:rsidR="00D1719C" w:rsidRPr="00D1719C" w14:paraId="3AC1DA31" w14:textId="77777777">
        <w:trPr>
          <w:trHeight w:val="45"/>
          <w:tblCellSpacing w:w="0" w:type="auto"/>
        </w:trPr>
        <w:tc>
          <w:tcPr>
            <w:tcW w:w="5277" w:type="dxa"/>
            <w:tcBorders>
              <w:bottom w:val="single" w:sz="8" w:space="0" w:color="000000"/>
              <w:right w:val="single" w:sz="8" w:space="0" w:color="000000"/>
            </w:tcBorders>
            <w:tcMar>
              <w:top w:w="15" w:type="dxa"/>
              <w:left w:w="15" w:type="dxa"/>
              <w:bottom w:w="15" w:type="dxa"/>
              <w:right w:w="15" w:type="dxa"/>
            </w:tcMar>
            <w:vAlign w:val="center"/>
          </w:tcPr>
          <w:p w14:paraId="18618C73"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10; 12,5; 16</w:t>
            </w:r>
          </w:p>
        </w:tc>
        <w:tc>
          <w:tcPr>
            <w:tcW w:w="5277" w:type="dxa"/>
            <w:tcBorders>
              <w:bottom w:val="single" w:sz="8" w:space="0" w:color="000000"/>
              <w:right w:val="single" w:sz="8" w:space="0" w:color="000000"/>
            </w:tcBorders>
            <w:tcMar>
              <w:top w:w="15" w:type="dxa"/>
              <w:left w:w="15" w:type="dxa"/>
              <w:bottom w:w="15" w:type="dxa"/>
              <w:right w:w="15" w:type="dxa"/>
            </w:tcMar>
            <w:vAlign w:val="center"/>
          </w:tcPr>
          <w:p w14:paraId="7155DA3C"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75</w:t>
            </w:r>
          </w:p>
        </w:tc>
        <w:tc>
          <w:tcPr>
            <w:tcW w:w="5278" w:type="dxa"/>
            <w:tcBorders>
              <w:bottom w:val="single" w:sz="8" w:space="0" w:color="000000"/>
              <w:right w:val="single" w:sz="8" w:space="0" w:color="000000"/>
            </w:tcBorders>
            <w:tcMar>
              <w:top w:w="15" w:type="dxa"/>
              <w:left w:w="15" w:type="dxa"/>
              <w:bottom w:w="15" w:type="dxa"/>
              <w:right w:w="15" w:type="dxa"/>
            </w:tcMar>
            <w:vAlign w:val="center"/>
          </w:tcPr>
          <w:p w14:paraId="05A2346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100</w:t>
            </w:r>
          </w:p>
        </w:tc>
      </w:tr>
      <w:tr w:rsidR="00D1719C" w:rsidRPr="00D1719C" w14:paraId="0C957F3A" w14:textId="77777777">
        <w:trPr>
          <w:trHeight w:val="45"/>
          <w:tblCellSpacing w:w="0" w:type="auto"/>
        </w:trPr>
        <w:tc>
          <w:tcPr>
            <w:tcW w:w="5277" w:type="dxa"/>
            <w:tcBorders>
              <w:bottom w:val="single" w:sz="8" w:space="0" w:color="000000"/>
              <w:right w:val="single" w:sz="8" w:space="0" w:color="000000"/>
            </w:tcBorders>
            <w:tcMar>
              <w:top w:w="15" w:type="dxa"/>
              <w:left w:w="15" w:type="dxa"/>
              <w:bottom w:w="15" w:type="dxa"/>
              <w:right w:w="15" w:type="dxa"/>
            </w:tcMar>
            <w:vAlign w:val="center"/>
          </w:tcPr>
          <w:p w14:paraId="39DC642A"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20</w:t>
            </w:r>
          </w:p>
        </w:tc>
        <w:tc>
          <w:tcPr>
            <w:tcW w:w="5277" w:type="dxa"/>
            <w:tcBorders>
              <w:bottom w:val="single" w:sz="8" w:space="0" w:color="000000"/>
              <w:right w:val="single" w:sz="8" w:space="0" w:color="000000"/>
            </w:tcBorders>
            <w:tcMar>
              <w:top w:w="15" w:type="dxa"/>
              <w:left w:w="15" w:type="dxa"/>
              <w:bottom w:w="15" w:type="dxa"/>
              <w:right w:w="15" w:type="dxa"/>
            </w:tcMar>
            <w:vAlign w:val="center"/>
          </w:tcPr>
          <w:p w14:paraId="56FB7B5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85</w:t>
            </w:r>
          </w:p>
        </w:tc>
        <w:tc>
          <w:tcPr>
            <w:tcW w:w="5278" w:type="dxa"/>
            <w:tcBorders>
              <w:bottom w:val="single" w:sz="8" w:space="0" w:color="000000"/>
              <w:right w:val="single" w:sz="8" w:space="0" w:color="000000"/>
            </w:tcBorders>
            <w:tcMar>
              <w:top w:w="15" w:type="dxa"/>
              <w:left w:w="15" w:type="dxa"/>
              <w:bottom w:w="15" w:type="dxa"/>
              <w:right w:w="15" w:type="dxa"/>
            </w:tcMar>
            <w:vAlign w:val="center"/>
          </w:tcPr>
          <w:p w14:paraId="08B7C1E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110</w:t>
            </w:r>
          </w:p>
        </w:tc>
      </w:tr>
      <w:tr w:rsidR="00D1719C" w:rsidRPr="00D1719C" w14:paraId="3F31B052" w14:textId="77777777">
        <w:trPr>
          <w:trHeight w:val="45"/>
          <w:tblCellSpacing w:w="0" w:type="auto"/>
        </w:trPr>
        <w:tc>
          <w:tcPr>
            <w:tcW w:w="5277" w:type="dxa"/>
            <w:tcBorders>
              <w:bottom w:val="single" w:sz="8" w:space="0" w:color="000000"/>
              <w:right w:val="single" w:sz="8" w:space="0" w:color="000000"/>
            </w:tcBorders>
            <w:tcMar>
              <w:top w:w="15" w:type="dxa"/>
              <w:left w:w="15" w:type="dxa"/>
              <w:bottom w:w="15" w:type="dxa"/>
              <w:right w:w="15" w:type="dxa"/>
            </w:tcMar>
            <w:vAlign w:val="center"/>
          </w:tcPr>
          <w:p w14:paraId="5E3E872B"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25</w:t>
            </w:r>
          </w:p>
        </w:tc>
        <w:tc>
          <w:tcPr>
            <w:tcW w:w="5277" w:type="dxa"/>
            <w:tcBorders>
              <w:bottom w:val="single" w:sz="8" w:space="0" w:color="000000"/>
              <w:right w:val="single" w:sz="8" w:space="0" w:color="000000"/>
            </w:tcBorders>
            <w:tcMar>
              <w:top w:w="15" w:type="dxa"/>
              <w:left w:w="15" w:type="dxa"/>
              <w:bottom w:w="15" w:type="dxa"/>
              <w:right w:w="15" w:type="dxa"/>
            </w:tcMar>
            <w:vAlign w:val="center"/>
          </w:tcPr>
          <w:p w14:paraId="1FD4782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100</w:t>
            </w:r>
          </w:p>
        </w:tc>
        <w:tc>
          <w:tcPr>
            <w:tcW w:w="5278" w:type="dxa"/>
            <w:tcBorders>
              <w:bottom w:val="single" w:sz="8" w:space="0" w:color="000000"/>
              <w:right w:val="single" w:sz="8" w:space="0" w:color="000000"/>
            </w:tcBorders>
            <w:tcMar>
              <w:top w:w="15" w:type="dxa"/>
              <w:left w:w="15" w:type="dxa"/>
              <w:bottom w:w="15" w:type="dxa"/>
              <w:right w:w="15" w:type="dxa"/>
            </w:tcMar>
            <w:vAlign w:val="center"/>
          </w:tcPr>
          <w:p w14:paraId="3513445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125</w:t>
            </w:r>
          </w:p>
        </w:tc>
      </w:tr>
      <w:tr w:rsidR="00D1719C" w:rsidRPr="00D1719C" w14:paraId="1B99FF26" w14:textId="77777777">
        <w:trPr>
          <w:trHeight w:val="45"/>
          <w:tblCellSpacing w:w="0" w:type="auto"/>
        </w:trPr>
        <w:tc>
          <w:tcPr>
            <w:tcW w:w="5277" w:type="dxa"/>
            <w:tcBorders>
              <w:bottom w:val="single" w:sz="8" w:space="0" w:color="000000"/>
              <w:right w:val="single" w:sz="8" w:space="0" w:color="000000"/>
            </w:tcBorders>
            <w:tcMar>
              <w:top w:w="15" w:type="dxa"/>
              <w:left w:w="15" w:type="dxa"/>
              <w:bottom w:w="15" w:type="dxa"/>
              <w:right w:w="15" w:type="dxa"/>
            </w:tcMar>
            <w:vAlign w:val="center"/>
          </w:tcPr>
          <w:p w14:paraId="7046172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31,5; 40</w:t>
            </w:r>
          </w:p>
        </w:tc>
        <w:tc>
          <w:tcPr>
            <w:tcW w:w="5277" w:type="dxa"/>
            <w:tcBorders>
              <w:bottom w:val="single" w:sz="8" w:space="0" w:color="000000"/>
              <w:right w:val="single" w:sz="8" w:space="0" w:color="000000"/>
            </w:tcBorders>
            <w:tcMar>
              <w:top w:w="15" w:type="dxa"/>
              <w:left w:w="15" w:type="dxa"/>
              <w:bottom w:w="15" w:type="dxa"/>
              <w:right w:w="15" w:type="dxa"/>
            </w:tcMar>
            <w:vAlign w:val="center"/>
          </w:tcPr>
          <w:p w14:paraId="4BF2F315"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105</w:t>
            </w:r>
          </w:p>
        </w:tc>
        <w:tc>
          <w:tcPr>
            <w:tcW w:w="5278" w:type="dxa"/>
            <w:tcBorders>
              <w:bottom w:val="single" w:sz="8" w:space="0" w:color="000000"/>
              <w:right w:val="single" w:sz="8" w:space="0" w:color="000000"/>
            </w:tcBorders>
            <w:tcMar>
              <w:top w:w="15" w:type="dxa"/>
              <w:left w:w="15" w:type="dxa"/>
              <w:bottom w:w="15" w:type="dxa"/>
              <w:right w:w="15" w:type="dxa"/>
            </w:tcMar>
            <w:vAlign w:val="center"/>
          </w:tcPr>
          <w:p w14:paraId="4264443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130</w:t>
            </w:r>
          </w:p>
        </w:tc>
      </w:tr>
    </w:tbl>
    <w:p w14:paraId="7DDE105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8) Prace w warunkach narażenia na drgania działające na organizm człowieka przez kończyny górne, przy których:</w:t>
      </w:r>
    </w:p>
    <w:p w14:paraId="4B26F5DC"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wartość ekspozycji dziennej wyrażonej w postaci równoważnej energetycznie dla 8 godzin działania sumy wektorowej skutecznych, skorygowanych częstotliwościowo przyspieszeń drgań wyznaczonych dla trzech składowych kierunkowych (</w:t>
      </w:r>
      <w:proofErr w:type="spellStart"/>
      <w:r w:rsidRPr="00D1719C">
        <w:rPr>
          <w:rFonts w:asciiTheme="minorHAnsi" w:hAnsiTheme="minorHAnsi" w:cstheme="minorHAnsi"/>
          <w:szCs w:val="24"/>
        </w:rPr>
        <w:t>ahwx</w:t>
      </w:r>
      <w:proofErr w:type="spellEnd"/>
      <w:r w:rsidRPr="00D1719C">
        <w:rPr>
          <w:rFonts w:asciiTheme="minorHAnsi" w:hAnsiTheme="minorHAnsi" w:cstheme="minorHAnsi"/>
          <w:szCs w:val="24"/>
        </w:rPr>
        <w:t xml:space="preserve">, </w:t>
      </w:r>
      <w:proofErr w:type="spellStart"/>
      <w:r w:rsidRPr="00D1719C">
        <w:rPr>
          <w:rFonts w:asciiTheme="minorHAnsi" w:hAnsiTheme="minorHAnsi" w:cstheme="minorHAnsi"/>
          <w:szCs w:val="24"/>
        </w:rPr>
        <w:t>ahwy</w:t>
      </w:r>
      <w:proofErr w:type="spellEnd"/>
      <w:r w:rsidRPr="00D1719C">
        <w:rPr>
          <w:rFonts w:asciiTheme="minorHAnsi" w:hAnsiTheme="minorHAnsi" w:cstheme="minorHAnsi"/>
          <w:szCs w:val="24"/>
        </w:rPr>
        <w:t xml:space="preserve">, </w:t>
      </w:r>
      <w:proofErr w:type="spellStart"/>
      <w:r w:rsidRPr="00D1719C">
        <w:rPr>
          <w:rFonts w:asciiTheme="minorHAnsi" w:hAnsiTheme="minorHAnsi" w:cstheme="minorHAnsi"/>
          <w:szCs w:val="24"/>
        </w:rPr>
        <w:t>ahwz</w:t>
      </w:r>
      <w:proofErr w:type="spellEnd"/>
      <w:r w:rsidRPr="00D1719C">
        <w:rPr>
          <w:rFonts w:asciiTheme="minorHAnsi" w:hAnsiTheme="minorHAnsi" w:cstheme="minorHAnsi"/>
          <w:szCs w:val="24"/>
        </w:rPr>
        <w:t>), przekracza 1 m/s</w:t>
      </w:r>
      <w:r w:rsidRPr="00D1719C">
        <w:rPr>
          <w:rFonts w:asciiTheme="minorHAnsi" w:hAnsiTheme="minorHAnsi" w:cstheme="minorHAnsi"/>
          <w:szCs w:val="24"/>
          <w:vertAlign w:val="superscript"/>
        </w:rPr>
        <w:t>2</w:t>
      </w:r>
      <w:r w:rsidRPr="00D1719C">
        <w:rPr>
          <w:rFonts w:asciiTheme="minorHAnsi" w:hAnsiTheme="minorHAnsi" w:cstheme="minorHAnsi"/>
          <w:szCs w:val="24"/>
        </w:rPr>
        <w:t xml:space="preserve"> lub</w:t>
      </w:r>
    </w:p>
    <w:p w14:paraId="30B2E1B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wartość ekspozycji trwającej 30 minut i krócej, wyrażonej w postaci sumy wektorowej skutecznych, skorygowanych częstotliwościowo przyspieszeń drgań wyznaczonych dla trzech składowych kierunkowych (</w:t>
      </w:r>
      <w:proofErr w:type="spellStart"/>
      <w:r w:rsidRPr="00D1719C">
        <w:rPr>
          <w:rFonts w:asciiTheme="minorHAnsi" w:hAnsiTheme="minorHAnsi" w:cstheme="minorHAnsi"/>
          <w:szCs w:val="24"/>
        </w:rPr>
        <w:t>ahwx</w:t>
      </w:r>
      <w:proofErr w:type="spellEnd"/>
      <w:r w:rsidRPr="00D1719C">
        <w:rPr>
          <w:rFonts w:asciiTheme="minorHAnsi" w:hAnsiTheme="minorHAnsi" w:cstheme="minorHAnsi"/>
          <w:szCs w:val="24"/>
        </w:rPr>
        <w:t xml:space="preserve">, </w:t>
      </w:r>
      <w:proofErr w:type="spellStart"/>
      <w:r w:rsidRPr="00D1719C">
        <w:rPr>
          <w:rFonts w:asciiTheme="minorHAnsi" w:hAnsiTheme="minorHAnsi" w:cstheme="minorHAnsi"/>
          <w:szCs w:val="24"/>
        </w:rPr>
        <w:t>ahwy</w:t>
      </w:r>
      <w:proofErr w:type="spellEnd"/>
      <w:r w:rsidRPr="00D1719C">
        <w:rPr>
          <w:rFonts w:asciiTheme="minorHAnsi" w:hAnsiTheme="minorHAnsi" w:cstheme="minorHAnsi"/>
          <w:szCs w:val="24"/>
        </w:rPr>
        <w:t xml:space="preserve">, </w:t>
      </w:r>
      <w:proofErr w:type="spellStart"/>
      <w:r w:rsidRPr="00D1719C">
        <w:rPr>
          <w:rFonts w:asciiTheme="minorHAnsi" w:hAnsiTheme="minorHAnsi" w:cstheme="minorHAnsi"/>
          <w:szCs w:val="24"/>
        </w:rPr>
        <w:t>ahwz</w:t>
      </w:r>
      <w:proofErr w:type="spellEnd"/>
      <w:r w:rsidRPr="00D1719C">
        <w:rPr>
          <w:rFonts w:asciiTheme="minorHAnsi" w:hAnsiTheme="minorHAnsi" w:cstheme="minorHAnsi"/>
          <w:szCs w:val="24"/>
        </w:rPr>
        <w:t>), przekracza 4 m/s</w:t>
      </w:r>
      <w:r w:rsidRPr="00D1719C">
        <w:rPr>
          <w:rFonts w:asciiTheme="minorHAnsi" w:hAnsiTheme="minorHAnsi" w:cstheme="minorHAnsi"/>
          <w:szCs w:val="24"/>
          <w:vertAlign w:val="superscript"/>
        </w:rPr>
        <w:t>2</w:t>
      </w:r>
      <w:r w:rsidRPr="00D1719C">
        <w:rPr>
          <w:rFonts w:asciiTheme="minorHAnsi" w:hAnsiTheme="minorHAnsi" w:cstheme="minorHAnsi"/>
          <w:szCs w:val="24"/>
        </w:rPr>
        <w:t>.</w:t>
      </w:r>
    </w:p>
    <w:p w14:paraId="598B3AA5"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9) Prace w warunkach narażenia na drgania o ogólnym działaniu na organizm człowieka, przy których:</w:t>
      </w:r>
    </w:p>
    <w:p w14:paraId="4D55B91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a) wartość ekspozycji dziennej wyrażonej w postaci równoważnego energetycznie dla 8 godzin działania skutecznego, skorygowanego częstotliwościowo przyspieszenia drgań dominującego wśród przyspieszeń drgań wyznaczonych dla trzech składowych kierunkowych, z uwzględnieniem właściwych współczynników (1,4awx, 1,4awy, </w:t>
      </w:r>
      <w:proofErr w:type="spellStart"/>
      <w:r w:rsidRPr="00D1719C">
        <w:rPr>
          <w:rFonts w:asciiTheme="minorHAnsi" w:hAnsiTheme="minorHAnsi" w:cstheme="minorHAnsi"/>
          <w:szCs w:val="24"/>
        </w:rPr>
        <w:t>awz</w:t>
      </w:r>
      <w:proofErr w:type="spellEnd"/>
      <w:r w:rsidRPr="00D1719C">
        <w:rPr>
          <w:rFonts w:asciiTheme="minorHAnsi" w:hAnsiTheme="minorHAnsi" w:cstheme="minorHAnsi"/>
          <w:szCs w:val="24"/>
        </w:rPr>
        <w:t>), przekracza 0,19 m/s</w:t>
      </w:r>
      <w:r w:rsidRPr="00D1719C">
        <w:rPr>
          <w:rFonts w:asciiTheme="minorHAnsi" w:hAnsiTheme="minorHAnsi" w:cstheme="minorHAnsi"/>
          <w:szCs w:val="24"/>
          <w:vertAlign w:val="superscript"/>
        </w:rPr>
        <w:t>2</w:t>
      </w:r>
      <w:r w:rsidRPr="00D1719C">
        <w:rPr>
          <w:rFonts w:asciiTheme="minorHAnsi" w:hAnsiTheme="minorHAnsi" w:cstheme="minorHAnsi"/>
          <w:szCs w:val="24"/>
        </w:rPr>
        <w:t xml:space="preserve"> lub</w:t>
      </w:r>
    </w:p>
    <w:p w14:paraId="6CAB59F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b) wartość ekspozycji trwającej 30 minut i krócej, wyrażonej w postaci skutecznego skorygowanego częstotliwościowo przyspieszenia drgań dominującego wśród przyspieszeń drgań wyznaczonych dla trzech składowych kierunkowych, z uwzględnieniem właściwych współczynników (1,4awx, 1,4awy, </w:t>
      </w:r>
      <w:proofErr w:type="spellStart"/>
      <w:r w:rsidRPr="00D1719C">
        <w:rPr>
          <w:rFonts w:asciiTheme="minorHAnsi" w:hAnsiTheme="minorHAnsi" w:cstheme="minorHAnsi"/>
          <w:szCs w:val="24"/>
        </w:rPr>
        <w:t>awz</w:t>
      </w:r>
      <w:proofErr w:type="spellEnd"/>
      <w:r w:rsidRPr="00D1719C">
        <w:rPr>
          <w:rFonts w:asciiTheme="minorHAnsi" w:hAnsiTheme="minorHAnsi" w:cstheme="minorHAnsi"/>
          <w:szCs w:val="24"/>
        </w:rPr>
        <w:t>), przekracza 0,76 m/s</w:t>
      </w:r>
      <w:r w:rsidRPr="00D1719C">
        <w:rPr>
          <w:rFonts w:asciiTheme="minorHAnsi" w:hAnsiTheme="minorHAnsi" w:cstheme="minorHAnsi"/>
          <w:szCs w:val="24"/>
          <w:vertAlign w:val="superscript"/>
        </w:rPr>
        <w:t>2</w:t>
      </w:r>
      <w:r w:rsidRPr="00D1719C">
        <w:rPr>
          <w:rFonts w:asciiTheme="minorHAnsi" w:hAnsiTheme="minorHAnsi" w:cstheme="minorHAnsi"/>
          <w:szCs w:val="24"/>
        </w:rPr>
        <w:t>.</w:t>
      </w:r>
    </w:p>
    <w:p w14:paraId="04A716B3"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10) Prace w pomieszczeniach, w których temperatura powietrza przekracza 30°C i wilgotność względna powietrza przekracza 65%, a także w warunkach bezpośredniego oddziaływania otwartego źródła promieniowania.</w:t>
      </w:r>
    </w:p>
    <w:p w14:paraId="191E8CE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11) Prace w temperaturze powietrza niższej niż 10°C albo przy wilgotności względnej wyższej niż 65%.</w:t>
      </w:r>
    </w:p>
    <w:p w14:paraId="44100C0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12) Prace w warunkach narażających na przemakanie odzieży, powodujące naruszenie bilansu cieplnego u młodocianych.</w:t>
      </w:r>
    </w:p>
    <w:p w14:paraId="36AB26EA"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13) Prace w warunkach podwyższonego ciśnienia, w tym w szczególności:</w:t>
      </w:r>
    </w:p>
    <w:p w14:paraId="5F00B0D4"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w komorach wysokich ciśnień lub w innych urządzeniach hiperbarycznych nawodnych lub naziemnych,</w:t>
      </w:r>
    </w:p>
    <w:p w14:paraId="388C9C5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prace nurków i płetwonurków,</w:t>
      </w:r>
    </w:p>
    <w:p w14:paraId="0556A1F5"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c) prace w kesonach.</w:t>
      </w:r>
    </w:p>
    <w:p w14:paraId="678FDA24"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14) Prace w warunkach obniżonego ciśnienia, w tym w szczególności w komorach niskich ciśnień lub w innych urządzeniach </w:t>
      </w:r>
      <w:proofErr w:type="spellStart"/>
      <w:r w:rsidRPr="00D1719C">
        <w:rPr>
          <w:rFonts w:asciiTheme="minorHAnsi" w:hAnsiTheme="minorHAnsi" w:cstheme="minorHAnsi"/>
          <w:szCs w:val="24"/>
        </w:rPr>
        <w:t>hipobarycznych</w:t>
      </w:r>
      <w:proofErr w:type="spellEnd"/>
      <w:r w:rsidRPr="00D1719C">
        <w:rPr>
          <w:rFonts w:asciiTheme="minorHAnsi" w:hAnsiTheme="minorHAnsi" w:cstheme="minorHAnsi"/>
          <w:szCs w:val="24"/>
        </w:rPr>
        <w:t xml:space="preserve"> nawodnych lub naziemnych.</w:t>
      </w:r>
    </w:p>
    <w:p w14:paraId="14B0826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 Prace w narażeniu na szkodliwe działanie czynników biologicznych:</w:t>
      </w:r>
    </w:p>
    <w:p w14:paraId="52867AE9"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 Prace w narażeniu na czynniki biologiczne zakwalifikowane do następującej grupy zagrożenia, zgodnie z przepisami dotyczącymi szkodliwych czynników biologicznych dla zdrowia w środowisku pracy oraz ochrony zdrowia pracowników zawodowo narażonych na te czynniki, wydanych na podstawie art. 222</w:t>
      </w:r>
      <w:r w:rsidRPr="00D1719C">
        <w:rPr>
          <w:rFonts w:asciiTheme="minorHAnsi" w:hAnsiTheme="minorHAnsi" w:cstheme="minorHAnsi"/>
          <w:szCs w:val="24"/>
          <w:vertAlign w:val="superscript"/>
        </w:rPr>
        <w:t>1</w:t>
      </w:r>
      <w:r w:rsidRPr="00D1719C">
        <w:rPr>
          <w:rFonts w:asciiTheme="minorHAnsi" w:hAnsiTheme="minorHAnsi" w:cstheme="minorHAnsi"/>
          <w:szCs w:val="24"/>
        </w:rPr>
        <w:t xml:space="preserve"> § 3 Kodeksu pracy:</w:t>
      </w:r>
    </w:p>
    <w:p w14:paraId="0C2614EA"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oznaczone dodatkowo jako A (możliwe efekty alergiczne) lub T (produkcja toksyn) lub D (wykaz pracowników narażonych na działanie tego czynnika biologicznego ma być przechowywany przez okres 10 lat po zakończeniu ostatniego zanotowanego przypadku narażenia), jeżeli prawidłowo przeprowadzona ocena narażenia na szkodliwe czynniki biologiczne wykazała ich obecność na stanowisku pracy - grupa 2 zagrożenia,</w:t>
      </w:r>
    </w:p>
    <w:p w14:paraId="2BFD077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jeżeli prawidłowo przeprowadzona ocena narażenia na szkodliwe czynniki biologiczne wykazała ich obecność na stanowisku pracy - grupa 3 lub 4 zagrożenia.</w:t>
      </w:r>
    </w:p>
    <w:p w14:paraId="2513108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 Prace, przy których źródłem zakażenia lub zarażenia może być chory człowiek lub materiał zakaźny pochodzenia ludzkiego, w tym krew, tkanki, mocz, kał, w szczególności wszelkie prace w szpitalach zakaźnych lub oddziałach zakaźnych.</w:t>
      </w:r>
    </w:p>
    <w:p w14:paraId="676DF7C3"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 Prace, przy których występują zagrożenia czynnikami biologicznymi przenoszonymi na człowieka przez kontakt ze zwierzętami lub produktami pochodzenia zwierzęcego, w szczególności:</w:t>
      </w:r>
    </w:p>
    <w:p w14:paraId="00C6E33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drobnoustrojami wywołującymi choroby odzwierzęce (zoonozy),</w:t>
      </w:r>
    </w:p>
    <w:p w14:paraId="690658C4"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alergenami pochodzenia zwierzęcego wytwarzanymi zarówno przez zwierzęta kręgowe, jak i bezkręgowe, w tym alergenami roztoczy, alergizującymi cząstkami ciała i wydalin owadów, alergenami ryb, pierza, naskórka, wydzielin i wydalin ptaków, naskórka, sierści, wydzielin i wydalin zwierząt.</w:t>
      </w:r>
    </w:p>
    <w:p w14:paraId="3388371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4) Prace, przy których występują zagrożenia czynnikami biologicznymi pochodzenia roślinnego lub mikroorganizmami przenoszonymi przez rośliny, w szczególności:</w:t>
      </w:r>
    </w:p>
    <w:p w14:paraId="0BB725A9"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drobnoustrojami występującymi w roślinach, w tym bakteriami, promieniowcami, grzybami, które stanowią zagrożenie w trakcie procesów magazynowania, przetwarzania i użytkowania surowców roślinnych,</w:t>
      </w:r>
    </w:p>
    <w:p w14:paraId="0C2C7AD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pyłami pochodzenia roślinnego, powodującymi stany uczuleniowe, w tym pyłami zbożowymi, paszowymi, tytoniowymi lub z ziół leczniczych.</w:t>
      </w:r>
    </w:p>
    <w:p w14:paraId="21727283" w14:textId="77777777" w:rsidR="00CA4C5E" w:rsidRPr="00D1719C" w:rsidRDefault="00CA4C5E">
      <w:pPr>
        <w:spacing w:before="80" w:after="0"/>
        <w:rPr>
          <w:rFonts w:asciiTheme="minorHAnsi" w:hAnsiTheme="minorHAnsi" w:cstheme="minorHAnsi"/>
          <w:szCs w:val="24"/>
        </w:rPr>
      </w:pPr>
    </w:p>
    <w:p w14:paraId="3E9FD997" w14:textId="77777777" w:rsidR="00CA4C5E" w:rsidRPr="00D1719C" w:rsidRDefault="00000000">
      <w:pPr>
        <w:spacing w:before="89" w:after="0"/>
        <w:jc w:val="center"/>
        <w:rPr>
          <w:rFonts w:asciiTheme="minorHAnsi" w:hAnsiTheme="minorHAnsi" w:cstheme="minorHAnsi"/>
          <w:szCs w:val="24"/>
        </w:rPr>
      </w:pPr>
      <w:r w:rsidRPr="00D1719C">
        <w:rPr>
          <w:rFonts w:asciiTheme="minorHAnsi" w:hAnsiTheme="minorHAnsi" w:cstheme="minorHAnsi"/>
          <w:b/>
          <w:szCs w:val="24"/>
        </w:rPr>
        <w:t>III. </w:t>
      </w:r>
    </w:p>
    <w:p w14:paraId="156B5312" w14:textId="77777777" w:rsidR="00CA4C5E" w:rsidRPr="00D1719C" w:rsidRDefault="00000000">
      <w:pPr>
        <w:spacing w:before="25" w:after="0"/>
        <w:jc w:val="center"/>
        <w:rPr>
          <w:rFonts w:asciiTheme="minorHAnsi" w:hAnsiTheme="minorHAnsi" w:cstheme="minorHAnsi"/>
          <w:szCs w:val="24"/>
        </w:rPr>
      </w:pPr>
      <w:r w:rsidRPr="00D1719C">
        <w:rPr>
          <w:rFonts w:asciiTheme="minorHAnsi" w:hAnsiTheme="minorHAnsi" w:cstheme="minorHAnsi"/>
          <w:b/>
          <w:szCs w:val="24"/>
        </w:rPr>
        <w:t>PRACE STWARZAJĄCE ZAGROŻENIA WYPADKOWE</w:t>
      </w:r>
    </w:p>
    <w:p w14:paraId="515E8B84"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 Prace, podczas których młodociani są narażeni na zwiększone niebezpieczeństwo urazów, w tym w szczególności związane z:</w:t>
      </w:r>
    </w:p>
    <w:p w14:paraId="331B26B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użytkowaniem maszyn określonych w załączniku nr 5 do rozporządzenia Ministra Gospodarki z dnia 21 października 2008 r. w sprawie zasadniczych wymagań dla maszyn (Dz. U. poz. 1228 oraz z 2011 r. poz. 701),</w:t>
      </w:r>
    </w:p>
    <w:p w14:paraId="33A8F334"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uruchamianiem maszyn i innych urządzeń bezpośrednio po ich naprawie,</w:t>
      </w:r>
    </w:p>
    <w:p w14:paraId="7386D89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c) połowem ryb, ich patroszeniem i filetowaniem,</w:t>
      </w:r>
    </w:p>
    <w:p w14:paraId="1731379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d) rozbiorem, trybowaniem i mieleniem mięsa,</w:t>
      </w:r>
    </w:p>
    <w:p w14:paraId="562E37A7"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e) obsługą ciągników i samojezdnych maszyn rolniczych oraz bezpośrednią obsługą kombajnów, sieczkarni, młockarni, kos, </w:t>
      </w:r>
      <w:proofErr w:type="spellStart"/>
      <w:r w:rsidRPr="00D1719C">
        <w:rPr>
          <w:rFonts w:asciiTheme="minorHAnsi" w:hAnsiTheme="minorHAnsi" w:cstheme="minorHAnsi"/>
          <w:szCs w:val="24"/>
        </w:rPr>
        <w:t>podkaszarek</w:t>
      </w:r>
      <w:proofErr w:type="spellEnd"/>
      <w:r w:rsidRPr="00D1719C">
        <w:rPr>
          <w:rFonts w:asciiTheme="minorHAnsi" w:hAnsiTheme="minorHAnsi" w:cstheme="minorHAnsi"/>
          <w:szCs w:val="24"/>
        </w:rPr>
        <w:t xml:space="preserve"> i glebogryzarek z napędem spalinowym,</w:t>
      </w:r>
    </w:p>
    <w:p w14:paraId="4619EA6B"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f) prowadzeniem maszyn budowlanych i drogowych oraz obsługą dźwignic, kafarów i kołowrotów,</w:t>
      </w:r>
    </w:p>
    <w:p w14:paraId="6B42E229"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 xml:space="preserve">g) obsługą kotłów parowych, urządzeń i naczyń, w których występuje ciśnienie powyżej 0,5 </w:t>
      </w:r>
      <w:proofErr w:type="spellStart"/>
      <w:r w:rsidRPr="00D1719C">
        <w:rPr>
          <w:rFonts w:asciiTheme="minorHAnsi" w:hAnsiTheme="minorHAnsi" w:cstheme="minorHAnsi"/>
          <w:szCs w:val="24"/>
        </w:rPr>
        <w:t>bara</w:t>
      </w:r>
      <w:proofErr w:type="spellEnd"/>
      <w:r w:rsidRPr="00D1719C">
        <w:rPr>
          <w:rFonts w:asciiTheme="minorHAnsi" w:hAnsiTheme="minorHAnsi" w:cstheme="minorHAnsi"/>
          <w:szCs w:val="24"/>
        </w:rPr>
        <w:t>, oraz obsługą generatorów gazowych,</w:t>
      </w:r>
    </w:p>
    <w:p w14:paraId="7FEB302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h) pracą przy pozyskiwaniu, zrywce i transporcie drewna,</w:t>
      </w:r>
    </w:p>
    <w:p w14:paraId="7CA46D7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i) obsługą zwierząt dzikich, jadowitych, buhajów, ogierów, knurów i tryków oraz wywozem obornika i gnojowic.</w:t>
      </w:r>
    </w:p>
    <w:p w14:paraId="4B093C56"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2) Prace przy produkcji, przemieszczaniu i obrocie materiałów wybuchowych, w tym wyrobów pirotechnicznych, a także przy produkcji i obsłudze urządzeń lub innych przedmiotów zawierających materiały wybuchowe.</w:t>
      </w:r>
    </w:p>
    <w:p w14:paraId="3C5C86A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3) Prace wymagające obsługi sprzętu do produkcji, przechowywania lub zastosowania gazów ciekłych, sprężonych lub rozpuszczonych.</w:t>
      </w:r>
    </w:p>
    <w:p w14:paraId="44A7C07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4) Prace przy użytkowaniu kadzi, cystern, zbiorników i butli zawierających czynniki wymienione w części II ust. 1.</w:t>
      </w:r>
    </w:p>
    <w:p w14:paraId="728E72DC"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5) Prace związane z obsługą, konserwacją, remontami i montażem urządzeń, instalacji i sieci elektroenergetycznych o napięciu elektrycznym znamionowym powyżej 1000 V prądu zmiennego lub 1500 V prądu stałego.</w:t>
      </w:r>
    </w:p>
    <w:p w14:paraId="5DD94A85"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6) Prace w transporcie kolejowym, w tym w szczególności:</w:t>
      </w:r>
    </w:p>
    <w:p w14:paraId="740CC008"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na stanowiskach związanych z prowadzeniem ruchu kolejowego, zwłaszcza prace maszynistów pojazdów trakcyjnych i drezyn motorowych, dyżurnych ruchu, konduktorów, manewrowych, ustawiaczy, nastawniczych, zwrotniczych, operatorów maszyn torowych oraz</w:t>
      </w:r>
    </w:p>
    <w:p w14:paraId="282FEC7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przy budowie i utrzymaniu sieci trakcyjnej.</w:t>
      </w:r>
    </w:p>
    <w:p w14:paraId="518E768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7) Prace w transporcie oraz komunikacji samochodowej i tramwajowej, w tym w szczególności:</w:t>
      </w:r>
    </w:p>
    <w:p w14:paraId="61650954"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prace kierowców pojazdów silnikowych i ich pomocników,</w:t>
      </w:r>
    </w:p>
    <w:p w14:paraId="7C23CCE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przy ręcznym przetaczaniu, spinaniu i odczepianiu wagonów i przyczep,</w:t>
      </w:r>
    </w:p>
    <w:p w14:paraId="0477CD20"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c) przy zdejmowaniu, nakładaniu i pompowaniu opon samochodowych i ciągnikowych.</w:t>
      </w:r>
    </w:p>
    <w:p w14:paraId="030501F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8) Prace w żegludze, w tym w szczególności wszelkie prace na jednostkach pływających oraz prace w portach związane z obsługą techniczną statków, prace na pogłębiarkach i przy wydobywaniu wraków.</w:t>
      </w:r>
    </w:p>
    <w:p w14:paraId="722A3E0B"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9) Prace w lotnictwie, w tym w szczególności prace pilotów statków powietrznych oraz prace związane z obsługą pasażerów na pokładach statków powietrznych.</w:t>
      </w:r>
    </w:p>
    <w:p w14:paraId="599B24DB"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10) Prace:</w:t>
      </w:r>
    </w:p>
    <w:p w14:paraId="2FE1D5E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a) pod ziemią, w tym w podziemnych zakładach górniczych,</w:t>
      </w:r>
    </w:p>
    <w:p w14:paraId="05D6D6EF"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b) w zagłębieniach o głębokości większej niż 0,7 m, których szerokość jest mniejsza niż dwukrotna głębokość,</w:t>
      </w:r>
    </w:p>
    <w:p w14:paraId="1E003929"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c) przy budowie i rozbiórce obiektów budowlanych,</w:t>
      </w:r>
    </w:p>
    <w:p w14:paraId="099DA56D"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d) inne prace grożące obsunięciem ziemi lub zawaleniem konstrukcji.</w:t>
      </w:r>
    </w:p>
    <w:p w14:paraId="7FDFFDAB"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11) Prace na wysokości powyżej 3 m.</w:t>
      </w:r>
    </w:p>
    <w:p w14:paraId="4F13765E"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12) Prace w odkrywkowych i otworowych zakładach górniczych.</w:t>
      </w:r>
    </w:p>
    <w:p w14:paraId="38B0C7B2"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13) Prace związane z ratownictwem, przy braku możliwości identyfikacji wszystkich zagrożeń, w tym wymagające stosowania izolujących środków ochrony indywidualnej.</w:t>
      </w:r>
    </w:p>
    <w:p w14:paraId="70E9BF71" w14:textId="77777777" w:rsidR="00CA4C5E" w:rsidRPr="00D1719C" w:rsidRDefault="00000000">
      <w:pPr>
        <w:spacing w:after="0"/>
        <w:rPr>
          <w:rFonts w:asciiTheme="minorHAnsi" w:hAnsiTheme="minorHAnsi" w:cstheme="minorHAnsi"/>
          <w:szCs w:val="24"/>
        </w:rPr>
      </w:pPr>
      <w:r w:rsidRPr="00D1719C">
        <w:rPr>
          <w:rFonts w:asciiTheme="minorHAnsi" w:hAnsiTheme="minorHAnsi" w:cstheme="minorHAnsi"/>
          <w:szCs w:val="24"/>
        </w:rPr>
        <w:t>14) Prace przy nieodpowiednim oświetleniu, przy których wykonywaniu parametry oświetlenia nie odpowiadają wymaganiom określonym w Polskich Normach.</w:t>
      </w:r>
    </w:p>
    <w:p w14:paraId="526252B4" w14:textId="77777777" w:rsidR="00CA4C5E" w:rsidRPr="00D1719C" w:rsidRDefault="00CA4C5E">
      <w:pPr>
        <w:spacing w:after="0"/>
        <w:rPr>
          <w:rFonts w:asciiTheme="minorHAnsi" w:hAnsiTheme="minorHAnsi" w:cstheme="minorHAnsi"/>
          <w:szCs w:val="24"/>
        </w:rPr>
      </w:pPr>
    </w:p>
    <w:sectPr w:rsidR="00CA4C5E" w:rsidRPr="00D1719C">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4C5E"/>
    <w:rsid w:val="00CA4C5E"/>
    <w:rsid w:val="00D1719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E129D"/>
  <w15:docId w15:val="{9701A98C-3C17-4C3A-A403-468060633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2F5496"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4472C4"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4472C4"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4472C4"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4472C4" w:themeColor="accent1"/>
      <w:spacing w:val="15"/>
      <w:sz w:val="24"/>
      <w:szCs w:val="24"/>
    </w:rPr>
  </w:style>
  <w:style w:type="paragraph" w:styleId="Tytu">
    <w:name w:val="Title"/>
    <w:basedOn w:val="Normalny"/>
    <w:next w:val="Normalny"/>
    <w:link w:val="TytuZnak"/>
    <w:uiPriority w:val="10"/>
    <w:qFormat/>
    <w:rsid w:val="00841CD9"/>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0563C1"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4472C4"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2199</Words>
  <Characters>13200</Characters>
  <Application>Microsoft Office Word</Application>
  <DocSecurity>0</DocSecurity>
  <Lines>110</Lines>
  <Paragraphs>30</Paragraphs>
  <ScaleCrop>false</ScaleCrop>
  <Company/>
  <LinksUpToDate>false</LinksUpToDate>
  <CharactersWithSpaces>15369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2023-07-07T12:00:00Z</dcterms:created>
  <dcterms:modified xsi:type="dcterms:W3CDTF">2023-07-07T12:00:00Z</dcterms:modified>
</cp:coreProperties>
</file>